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F3E6" w14:textId="77777777" w:rsidR="00513672" w:rsidRDefault="00513672" w:rsidP="00513672">
      <w:pPr>
        <w:spacing w:line="276" w:lineRule="auto"/>
        <w:rPr>
          <w:rFonts w:eastAsia="Times New Roman" w:cs="Tahoma"/>
          <w:b/>
          <w:bCs/>
          <w:iCs/>
          <w:sz w:val="28"/>
          <w:szCs w:val="28"/>
        </w:rPr>
      </w:pPr>
    </w:p>
    <w:p w14:paraId="67CDD48E" w14:textId="4F7F90F0" w:rsidR="00E2755C" w:rsidRDefault="00E2755C" w:rsidP="003222B9">
      <w:pPr>
        <w:spacing w:line="276" w:lineRule="auto"/>
        <w:jc w:val="center"/>
        <w:rPr>
          <w:rFonts w:eastAsia="Times New Roman" w:cs="Tahoma"/>
          <w:b/>
          <w:bCs/>
          <w:iCs/>
          <w:sz w:val="32"/>
          <w:szCs w:val="32"/>
        </w:rPr>
      </w:pPr>
      <w:r w:rsidRPr="00E2755C">
        <w:rPr>
          <w:rFonts w:eastAsia="Times New Roman" w:cs="Tahoma"/>
          <w:b/>
          <w:bCs/>
          <w:iCs/>
          <w:sz w:val="32"/>
          <w:szCs w:val="32"/>
        </w:rPr>
        <w:t xml:space="preserve">KRYTERIA WYBORU GRANTOBIORCÓW </w:t>
      </w:r>
      <w:r w:rsidRPr="00E2755C">
        <w:rPr>
          <w:rFonts w:eastAsia="Times New Roman" w:cs="Tahoma"/>
          <w:b/>
          <w:bCs/>
          <w:iCs/>
          <w:sz w:val="32"/>
          <w:szCs w:val="32"/>
        </w:rPr>
        <w:br/>
        <w:t>UWZGLĘDNIAJĄCE WARUNKI ZAWARTE W KRYTERIACH WYBORU PROJEKTÓW GRANTOWYCH</w:t>
      </w:r>
    </w:p>
    <w:p w14:paraId="634FAA8F" w14:textId="77777777" w:rsidR="00D66237" w:rsidRDefault="00D66237" w:rsidP="003222B9">
      <w:pPr>
        <w:spacing w:line="276" w:lineRule="auto"/>
        <w:jc w:val="center"/>
        <w:rPr>
          <w:rFonts w:eastAsia="Times New Roman" w:cs="Tahoma"/>
          <w:b/>
          <w:bCs/>
          <w:iCs/>
          <w:sz w:val="32"/>
          <w:szCs w:val="32"/>
        </w:rPr>
      </w:pPr>
    </w:p>
    <w:p w14:paraId="024F24EB" w14:textId="77777777" w:rsidR="00D66237" w:rsidRPr="00E2755C" w:rsidRDefault="00D66237" w:rsidP="003222B9">
      <w:pPr>
        <w:spacing w:line="276" w:lineRule="auto"/>
        <w:jc w:val="center"/>
        <w:rPr>
          <w:rFonts w:eastAsia="Times New Roman" w:cs="Tahoma"/>
          <w:b/>
          <w:bCs/>
          <w:iCs/>
          <w:sz w:val="32"/>
          <w:szCs w:val="32"/>
        </w:rPr>
      </w:pPr>
      <w:bookmarkStart w:id="0" w:name="_GoBack"/>
      <w:bookmarkEnd w:id="0"/>
    </w:p>
    <w:tbl>
      <w:tblPr>
        <w:tblStyle w:val="Tabela-Siatka1"/>
        <w:tblW w:w="14036" w:type="dxa"/>
        <w:tblInd w:w="276" w:type="dxa"/>
        <w:tblCellMar>
          <w:left w:w="103" w:type="dxa"/>
        </w:tblCellMar>
        <w:tblLook w:val="0000" w:firstRow="0" w:lastRow="0" w:firstColumn="0" w:lastColumn="0" w:noHBand="0" w:noVBand="0"/>
      </w:tblPr>
      <w:tblGrid>
        <w:gridCol w:w="916"/>
        <w:gridCol w:w="3517"/>
        <w:gridCol w:w="10"/>
        <w:gridCol w:w="6187"/>
        <w:gridCol w:w="18"/>
        <w:gridCol w:w="3388"/>
      </w:tblGrid>
      <w:tr w:rsidR="005C2DF5" w:rsidRPr="005C2DF5" w14:paraId="33CE240F" w14:textId="77777777" w:rsidTr="00894868">
        <w:trPr>
          <w:trHeight w:val="432"/>
        </w:trPr>
        <w:tc>
          <w:tcPr>
            <w:tcW w:w="916" w:type="dxa"/>
            <w:tcBorders>
              <w:top w:val="single" w:sz="4" w:space="0" w:color="000001"/>
              <w:left w:val="single" w:sz="4" w:space="0" w:color="000001"/>
              <w:bottom w:val="single" w:sz="4" w:space="0" w:color="000001"/>
              <w:right w:val="single" w:sz="4" w:space="0" w:color="000001"/>
            </w:tcBorders>
            <w:shd w:val="clear" w:color="auto" w:fill="auto"/>
          </w:tcPr>
          <w:p w14:paraId="1E0E4D0B" w14:textId="77777777" w:rsidR="005C2DF5" w:rsidRPr="005C2DF5" w:rsidRDefault="005C2DF5" w:rsidP="0054487C">
            <w:pPr>
              <w:jc w:val="center"/>
              <w:rPr>
                <w:rFonts w:asciiTheme="minorHAnsi" w:hAnsiTheme="minorHAnsi" w:cs="Arial"/>
                <w:b/>
                <w:sz w:val="22"/>
                <w:szCs w:val="22"/>
              </w:rPr>
            </w:pPr>
            <w:r w:rsidRPr="005C2DF5">
              <w:rPr>
                <w:rFonts w:asciiTheme="minorHAnsi" w:hAnsiTheme="minorHAnsi" w:cs="Arial"/>
                <w:b/>
                <w:sz w:val="22"/>
                <w:szCs w:val="22"/>
              </w:rPr>
              <w:t>Lp.</w:t>
            </w:r>
          </w:p>
        </w:tc>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Pr>
          <w:p w14:paraId="25AE5FD0" w14:textId="77777777" w:rsidR="005C2DF5" w:rsidRPr="005C2DF5" w:rsidRDefault="005C2DF5" w:rsidP="0054487C">
            <w:pPr>
              <w:jc w:val="center"/>
              <w:rPr>
                <w:rFonts w:asciiTheme="minorHAnsi" w:hAnsiTheme="minorHAnsi" w:cs="Arial"/>
                <w:b/>
                <w:sz w:val="22"/>
                <w:szCs w:val="22"/>
              </w:rPr>
            </w:pPr>
            <w:r w:rsidRPr="005C2DF5">
              <w:rPr>
                <w:rFonts w:asciiTheme="minorHAnsi" w:hAnsiTheme="minorHAnsi" w:cs="Arial"/>
                <w:b/>
                <w:sz w:val="22"/>
                <w:szCs w:val="22"/>
              </w:rPr>
              <w:t>Nazwa kryterium</w:t>
            </w:r>
          </w:p>
        </w:tc>
        <w:tc>
          <w:tcPr>
            <w:tcW w:w="6205" w:type="dxa"/>
            <w:gridSpan w:val="2"/>
            <w:tcBorders>
              <w:top w:val="single" w:sz="4" w:space="0" w:color="000001"/>
              <w:left w:val="single" w:sz="4" w:space="0" w:color="000001"/>
              <w:bottom w:val="single" w:sz="4" w:space="0" w:color="000001"/>
              <w:right w:val="single" w:sz="4" w:space="0" w:color="000001"/>
            </w:tcBorders>
            <w:shd w:val="clear" w:color="auto" w:fill="auto"/>
          </w:tcPr>
          <w:p w14:paraId="2D9E669C" w14:textId="77777777" w:rsidR="005C2DF5" w:rsidRPr="005C2DF5" w:rsidRDefault="005C2DF5" w:rsidP="0054487C">
            <w:pPr>
              <w:jc w:val="center"/>
              <w:rPr>
                <w:rFonts w:asciiTheme="minorHAnsi" w:hAnsiTheme="minorHAnsi" w:cs="Arial"/>
                <w:b/>
                <w:sz w:val="22"/>
                <w:szCs w:val="22"/>
              </w:rPr>
            </w:pPr>
            <w:r w:rsidRPr="005C2DF5">
              <w:rPr>
                <w:rFonts w:asciiTheme="minorHAnsi" w:hAnsiTheme="minorHAnsi" w:cs="Arial"/>
                <w:b/>
                <w:sz w:val="22"/>
                <w:szCs w:val="22"/>
              </w:rPr>
              <w:t>Definicja kryterium</w:t>
            </w:r>
          </w:p>
        </w:tc>
        <w:tc>
          <w:tcPr>
            <w:tcW w:w="3388" w:type="dxa"/>
            <w:tcBorders>
              <w:top w:val="single" w:sz="4" w:space="0" w:color="000001"/>
              <w:left w:val="single" w:sz="4" w:space="0" w:color="000001"/>
              <w:bottom w:val="single" w:sz="4" w:space="0" w:color="000001"/>
              <w:right w:val="single" w:sz="4" w:space="0" w:color="000001"/>
            </w:tcBorders>
            <w:shd w:val="clear" w:color="auto" w:fill="auto"/>
          </w:tcPr>
          <w:p w14:paraId="30D3436B" w14:textId="414DED29" w:rsidR="005C2DF5" w:rsidRPr="008239E6" w:rsidRDefault="008239E6" w:rsidP="0054487C">
            <w:pPr>
              <w:jc w:val="center"/>
              <w:rPr>
                <w:rFonts w:asciiTheme="minorHAnsi" w:hAnsiTheme="minorHAnsi" w:cs="Tahoma"/>
                <w:b/>
                <w:sz w:val="22"/>
                <w:szCs w:val="22"/>
              </w:rPr>
            </w:pPr>
            <w:r w:rsidRPr="008239E6">
              <w:rPr>
                <w:rFonts w:asciiTheme="minorHAnsi" w:hAnsiTheme="minorHAnsi" w:cs="Arial"/>
                <w:b/>
                <w:sz w:val="22"/>
                <w:szCs w:val="22"/>
              </w:rPr>
              <w:t>Z</w:t>
            </w:r>
            <w:r w:rsidR="005C2DF5" w:rsidRPr="008239E6">
              <w:rPr>
                <w:rFonts w:asciiTheme="minorHAnsi" w:hAnsiTheme="minorHAnsi" w:cs="Arial"/>
                <w:b/>
                <w:sz w:val="22"/>
                <w:szCs w:val="22"/>
              </w:rPr>
              <w:t>naczenia kryterium</w:t>
            </w:r>
          </w:p>
        </w:tc>
      </w:tr>
      <w:tr w:rsidR="00894868" w:rsidRPr="005C2DF5" w14:paraId="3F6EAB2F" w14:textId="77777777" w:rsidTr="00E2755C">
        <w:trPr>
          <w:trHeight w:val="952"/>
        </w:trPr>
        <w:tc>
          <w:tcPr>
            <w:tcW w:w="916" w:type="dxa"/>
            <w:shd w:val="clear" w:color="auto" w:fill="auto"/>
          </w:tcPr>
          <w:p w14:paraId="26A57180" w14:textId="77777777" w:rsidR="00894868" w:rsidRPr="00FB1ABB" w:rsidRDefault="00894868" w:rsidP="00E2755C">
            <w:pPr>
              <w:spacing w:after="120"/>
              <w:jc w:val="center"/>
              <w:rPr>
                <w:rFonts w:cs="Arial"/>
                <w:b/>
                <w:kern w:val="2"/>
              </w:rPr>
            </w:pPr>
            <w:r w:rsidRPr="00FB1ABB">
              <w:rPr>
                <w:rFonts w:cs="Arial"/>
                <w:b/>
                <w:kern w:val="2"/>
              </w:rPr>
              <w:t>1.</w:t>
            </w:r>
          </w:p>
          <w:p w14:paraId="66059963" w14:textId="77777777" w:rsidR="00894868" w:rsidRPr="00894868" w:rsidRDefault="00894868" w:rsidP="00894868">
            <w:pPr>
              <w:snapToGrid w:val="0"/>
              <w:spacing w:after="200"/>
              <w:ind w:left="426"/>
              <w:contextualSpacing/>
              <w:rPr>
                <w:rFonts w:cs="Arial"/>
                <w:b/>
              </w:rPr>
            </w:pPr>
          </w:p>
        </w:tc>
        <w:tc>
          <w:tcPr>
            <w:tcW w:w="3517" w:type="dxa"/>
            <w:tcBorders>
              <w:top w:val="nil"/>
              <w:left w:val="single" w:sz="4" w:space="0" w:color="000001"/>
              <w:right w:val="single" w:sz="4" w:space="0" w:color="000001"/>
            </w:tcBorders>
            <w:shd w:val="clear" w:color="auto" w:fill="auto"/>
          </w:tcPr>
          <w:p w14:paraId="7FDA537C" w14:textId="33FFF93E" w:rsidR="00894868" w:rsidRPr="008226C7" w:rsidRDefault="00894868" w:rsidP="00894868">
            <w:pPr>
              <w:jc w:val="both"/>
              <w:rPr>
                <w:b/>
              </w:rPr>
            </w:pPr>
            <w:r w:rsidRPr="008226C7">
              <w:rPr>
                <w:rFonts w:cs="Arial"/>
                <w:b/>
                <w:kern w:val="2"/>
              </w:rPr>
              <w:t>Ocena występowania pomocy publicznej  /pomoc de minimis</w:t>
            </w:r>
          </w:p>
        </w:tc>
        <w:tc>
          <w:tcPr>
            <w:tcW w:w="6197" w:type="dxa"/>
            <w:gridSpan w:val="2"/>
            <w:tcBorders>
              <w:top w:val="nil"/>
              <w:left w:val="single" w:sz="4" w:space="0" w:color="000001"/>
              <w:right w:val="single" w:sz="4" w:space="0" w:color="000001"/>
            </w:tcBorders>
            <w:shd w:val="clear" w:color="auto" w:fill="auto"/>
          </w:tcPr>
          <w:p w14:paraId="7E098CC5" w14:textId="77777777" w:rsidR="00894868" w:rsidRPr="00DE6D6D" w:rsidRDefault="00894868" w:rsidP="00894868">
            <w:pPr>
              <w:snapToGrid w:val="0"/>
              <w:jc w:val="both"/>
            </w:pPr>
            <w:r w:rsidRPr="00DE6D6D">
              <w:rPr>
                <w:rFonts w:cs="Arial"/>
                <w:kern w:val="2"/>
              </w:rPr>
              <w:t>W ramach tego kryterium należy zweryfikować czy Wnioskodawca prawidłowo zakwalifikował projekt pod kątem występowania pomocy publicznej</w:t>
            </w:r>
            <w:r>
              <w:rPr>
                <w:rFonts w:cs="Arial"/>
                <w:kern w:val="2"/>
              </w:rPr>
              <w:t xml:space="preserve"> </w:t>
            </w:r>
            <w:r w:rsidRPr="00DE6D6D">
              <w:rPr>
                <w:rFonts w:cs="Arial"/>
                <w:kern w:val="2"/>
              </w:rPr>
              <w:t>/</w:t>
            </w:r>
            <w:r>
              <w:rPr>
                <w:rFonts w:cs="Arial"/>
                <w:kern w:val="2"/>
              </w:rPr>
              <w:t xml:space="preserve"> </w:t>
            </w:r>
            <w:r w:rsidRPr="00DE6D6D">
              <w:rPr>
                <w:rFonts w:cs="Arial"/>
                <w:kern w:val="2"/>
              </w:rPr>
              <w:t>pomocy de minimis</w:t>
            </w:r>
            <w:r w:rsidRPr="00DE6D6D">
              <w:t>. W projekcie  dopuszcza się wystąpienie pomocy de minimis</w:t>
            </w:r>
            <w:r>
              <w:t xml:space="preserve"> - na poziomie grantodawcy i grantobiorców - lub – na poziomie grantobiorców - p</w:t>
            </w:r>
            <w:r w:rsidRPr="00064782">
              <w:t>omoc</w:t>
            </w:r>
            <w:r>
              <w:t>y</w:t>
            </w:r>
            <w:r w:rsidRPr="00064782">
              <w:t xml:space="preserve"> inwestycyjn</w:t>
            </w:r>
            <w:r>
              <w:t>ej</w:t>
            </w:r>
            <w:r w:rsidRPr="00064782">
              <w:t xml:space="preserve"> na wcześniejsze dostosowanie do przyszłych norm unijnych </w:t>
            </w:r>
            <w:r>
              <w:t xml:space="preserve">(art. 37 GBER) i ewentualnie pomocy </w:t>
            </w:r>
            <w:r w:rsidRPr="00064782">
              <w:t>inwestycyjn</w:t>
            </w:r>
            <w:r>
              <w:t>ej</w:t>
            </w:r>
            <w:r w:rsidRPr="00064782">
              <w:t xml:space="preserve"> na propagowanie energii ze źródeł odnawialnych</w:t>
            </w:r>
            <w:r>
              <w:t xml:space="preserve"> (art. 41 GBER)</w:t>
            </w:r>
            <w:r w:rsidRPr="00DE6D6D">
              <w:t xml:space="preserve">.. </w:t>
            </w:r>
          </w:p>
          <w:p w14:paraId="4F6A6C2F" w14:textId="77777777" w:rsidR="00894868" w:rsidRPr="00DE6D6D" w:rsidRDefault="00894868" w:rsidP="00894868">
            <w:pPr>
              <w:snapToGrid w:val="0"/>
              <w:jc w:val="both"/>
            </w:pPr>
            <w:r w:rsidRPr="00DE6D6D">
              <w:rPr>
                <w:rFonts w:cs="Arial"/>
                <w:kern w:val="2"/>
              </w:rPr>
              <w:t>W przypadku projektów objętych pomocą de minimis na poziomie grantodawcy</w:t>
            </w:r>
            <w:r>
              <w:rPr>
                <w:rFonts w:cs="Arial"/>
                <w:kern w:val="2"/>
              </w:rPr>
              <w:t xml:space="preserve"> </w:t>
            </w:r>
            <w:r w:rsidRPr="00DE6D6D">
              <w:rPr>
                <w:rFonts w:cs="Arial"/>
                <w:kern w:val="2"/>
              </w:rPr>
              <w:t xml:space="preserve">i grantobiorcy </w:t>
            </w:r>
            <w:r>
              <w:rPr>
                <w:rFonts w:cs="Arial"/>
                <w:kern w:val="2"/>
              </w:rPr>
              <w:t>(w tym przypadku taki obowiązek będzie ciążył na grantodawcy)</w:t>
            </w:r>
            <w:r w:rsidRPr="00DE6D6D">
              <w:rPr>
                <w:rFonts w:cs="Arial"/>
                <w:kern w:val="2"/>
              </w:rPr>
              <w:t xml:space="preserve"> należy zweryfikować czy całkowita kwota pomocy de minimis dla danego podmiotu w okresie trzech lat podatkowych (z uwzględnieniem wnioskowanej kwoty pomocy de minimis oraz pomocy de minimis otrzymanej z innych źródeł) nie przekracza równowartości 200 000 euro. </w:t>
            </w:r>
          </w:p>
          <w:p w14:paraId="40C52269" w14:textId="77777777" w:rsidR="00894868" w:rsidRPr="00DE6D6D" w:rsidRDefault="00894868" w:rsidP="00894868">
            <w:pPr>
              <w:snapToGrid w:val="0"/>
              <w:jc w:val="both"/>
              <w:rPr>
                <w:rFonts w:cs="Arial"/>
                <w:kern w:val="2"/>
              </w:rPr>
            </w:pPr>
            <w:r w:rsidRPr="00DE6D6D">
              <w:rPr>
                <w:rFonts w:cs="Arial"/>
                <w:kern w:val="2"/>
              </w:rPr>
              <w:t xml:space="preserve">W trakcie oceny weryfikowana będzie informacja o otrzymanej przez grantodawcę i grantobiorcę </w:t>
            </w:r>
            <w:r>
              <w:rPr>
                <w:rFonts w:cs="Arial"/>
                <w:kern w:val="2"/>
              </w:rPr>
              <w:t>(w tym przypadku taki obowiązek będzie ciążył na grantodawcy)</w:t>
            </w:r>
            <w:r w:rsidRPr="00DE6D6D">
              <w:rPr>
                <w:rFonts w:cs="Arial"/>
                <w:kern w:val="2"/>
              </w:rPr>
              <w:t xml:space="preserve"> pomocy de minimis w oparciu o dane dostępne w systemie SUDOP. Stwierdzenie przekroczenia dopuszczalnej kwoty pomocy de minimis będzie skutkowało zmniejszeniem dofinansowania lub odrzuceniem projektu podczas oceny wniosku.</w:t>
            </w:r>
          </w:p>
          <w:p w14:paraId="65C60017" w14:textId="77777777" w:rsidR="00894868" w:rsidRPr="00DE6D6D" w:rsidRDefault="00894868" w:rsidP="00894868">
            <w:pPr>
              <w:snapToGrid w:val="0"/>
              <w:jc w:val="both"/>
              <w:rPr>
                <w:rFonts w:cs="Arial"/>
                <w:kern w:val="2"/>
              </w:rPr>
            </w:pPr>
            <w:r w:rsidRPr="00DE6D6D">
              <w:rPr>
                <w:rFonts w:cs="Arial"/>
                <w:kern w:val="2"/>
              </w:rPr>
              <w:t>Ponowna weryfikacja poziomu otrzymanej pomocy de minimis przez grantodawcę</w:t>
            </w:r>
            <w:r>
              <w:rPr>
                <w:rFonts w:cs="Arial"/>
                <w:kern w:val="2"/>
              </w:rPr>
              <w:t xml:space="preserve"> </w:t>
            </w:r>
            <w:r w:rsidRPr="00DE6D6D">
              <w:rPr>
                <w:rFonts w:cs="Arial"/>
                <w:kern w:val="2"/>
              </w:rPr>
              <w:t>/</w:t>
            </w:r>
            <w:r>
              <w:rPr>
                <w:rFonts w:cs="Arial"/>
                <w:kern w:val="2"/>
              </w:rPr>
              <w:t xml:space="preserve"> </w:t>
            </w:r>
            <w:r w:rsidRPr="00DE6D6D">
              <w:rPr>
                <w:rFonts w:cs="Arial"/>
                <w:kern w:val="2"/>
              </w:rPr>
              <w:t xml:space="preserve">grantobiorcę </w:t>
            </w:r>
            <w:r>
              <w:rPr>
                <w:rFonts w:cs="Arial"/>
                <w:kern w:val="2"/>
              </w:rPr>
              <w:t xml:space="preserve">(w tym przypadku taki obowiązek będzie </w:t>
            </w:r>
            <w:r>
              <w:rPr>
                <w:rFonts w:cs="Arial"/>
                <w:kern w:val="2"/>
              </w:rPr>
              <w:lastRenderedPageBreak/>
              <w:t>ciążył na grantodawcy)</w:t>
            </w:r>
            <w:r w:rsidRPr="00DE6D6D">
              <w:rPr>
                <w:rFonts w:cs="Arial"/>
                <w:kern w:val="2"/>
              </w:rPr>
              <w:t xml:space="preserve"> będzie występowała na etapie podpisywania umowy o dofinansowanie</w:t>
            </w:r>
            <w:r>
              <w:rPr>
                <w:rFonts w:cs="Arial"/>
                <w:kern w:val="2"/>
              </w:rPr>
              <w:t xml:space="preserve"> </w:t>
            </w:r>
            <w:r w:rsidRPr="00DE6D6D">
              <w:rPr>
                <w:rFonts w:cs="Arial"/>
                <w:kern w:val="2"/>
              </w:rPr>
              <w:t>/</w:t>
            </w:r>
            <w:r>
              <w:rPr>
                <w:rFonts w:cs="Arial"/>
                <w:kern w:val="2"/>
              </w:rPr>
              <w:t xml:space="preserve"> </w:t>
            </w:r>
            <w:r w:rsidRPr="00DE6D6D">
              <w:rPr>
                <w:rFonts w:cs="Arial"/>
                <w:kern w:val="2"/>
              </w:rPr>
              <w:t>o udzielenie grantu.</w:t>
            </w:r>
          </w:p>
          <w:p w14:paraId="77FE6C69" w14:textId="77777777" w:rsidR="00894868" w:rsidRPr="00DE6D6D" w:rsidRDefault="00894868" w:rsidP="00894868">
            <w:pPr>
              <w:snapToGrid w:val="0"/>
              <w:jc w:val="both"/>
              <w:rPr>
                <w:rFonts w:cs="Arial"/>
                <w:kern w:val="2"/>
              </w:rPr>
            </w:pPr>
            <w:r w:rsidRPr="00DE6D6D">
              <w:rPr>
                <w:rFonts w:cs="Arial"/>
                <w:kern w:val="2"/>
              </w:rPr>
              <w:t>Kryterium niespełnione jeśli:</w:t>
            </w:r>
          </w:p>
          <w:p w14:paraId="7691F439" w14:textId="77777777" w:rsidR="00894868" w:rsidRPr="00DE6D6D" w:rsidRDefault="00894868" w:rsidP="00894868">
            <w:pPr>
              <w:pStyle w:val="Akapitzlist"/>
              <w:numPr>
                <w:ilvl w:val="0"/>
                <w:numId w:val="42"/>
              </w:numPr>
              <w:snapToGrid w:val="0"/>
              <w:spacing w:after="200"/>
              <w:jc w:val="both"/>
              <w:rPr>
                <w:rFonts w:cs="Arial"/>
                <w:kern w:val="2"/>
              </w:rPr>
            </w:pPr>
            <w:r w:rsidRPr="00DE6D6D">
              <w:rPr>
                <w:rFonts w:cs="Arial"/>
                <w:kern w:val="2"/>
              </w:rPr>
              <w:t>Wnioskodawca nieprawidłowo zakwalifikował projekt pod kątem występowania pomocy publicznej</w:t>
            </w:r>
            <w:r>
              <w:rPr>
                <w:rFonts w:cs="Arial"/>
                <w:kern w:val="2"/>
              </w:rPr>
              <w:t xml:space="preserve"> </w:t>
            </w:r>
            <w:r w:rsidRPr="00DE6D6D">
              <w:rPr>
                <w:rFonts w:cs="Arial"/>
                <w:kern w:val="2"/>
              </w:rPr>
              <w:t>/ de minimis;</w:t>
            </w:r>
          </w:p>
          <w:p w14:paraId="5853271E" w14:textId="77777777" w:rsidR="00894868" w:rsidRPr="00DE6D6D" w:rsidRDefault="00894868" w:rsidP="00894868">
            <w:pPr>
              <w:pStyle w:val="Akapitzlist"/>
              <w:numPr>
                <w:ilvl w:val="0"/>
                <w:numId w:val="42"/>
              </w:numPr>
              <w:snapToGrid w:val="0"/>
              <w:spacing w:after="200"/>
              <w:jc w:val="both"/>
              <w:rPr>
                <w:rFonts w:cs="Arial"/>
                <w:kern w:val="2"/>
              </w:rPr>
            </w:pPr>
            <w:r w:rsidRPr="00DE6D6D">
              <w:t xml:space="preserve"> jeżeli w projekcie nie zapewniono (nie opisano) mechanizmów wyboru grantobiorców z uwzględnieniem niniejszego kryterium;</w:t>
            </w:r>
          </w:p>
          <w:p w14:paraId="75C1CB28" w14:textId="09107FD8" w:rsidR="00894868" w:rsidRPr="005C2DF5" w:rsidRDefault="00894868" w:rsidP="00894868">
            <w:pPr>
              <w:snapToGrid w:val="0"/>
              <w:jc w:val="both"/>
              <w:rPr>
                <w:rFonts w:cs="Arial"/>
              </w:rPr>
            </w:pPr>
            <w:r w:rsidRPr="00DE6D6D">
              <w:t>jeżeli w projekcie nie zapewniono (nie opisano) mechanizmów kontroli gwarantujących</w:t>
            </w:r>
            <w:r>
              <w:t>,</w:t>
            </w:r>
            <w:r w:rsidRPr="00DE6D6D">
              <w:t xml:space="preserve"> że nie zostaną wprowadzone zmiany sprzeczne z niniejszym kryterium.</w:t>
            </w:r>
          </w:p>
        </w:tc>
        <w:tc>
          <w:tcPr>
            <w:tcW w:w="3406" w:type="dxa"/>
            <w:gridSpan w:val="2"/>
            <w:tcBorders>
              <w:top w:val="nil"/>
              <w:left w:val="single" w:sz="4" w:space="0" w:color="000001"/>
              <w:right w:val="single" w:sz="4" w:space="0" w:color="000001"/>
            </w:tcBorders>
            <w:shd w:val="clear" w:color="auto" w:fill="auto"/>
          </w:tcPr>
          <w:p w14:paraId="269BBB56" w14:textId="5905420E" w:rsidR="00894868" w:rsidRPr="005C2DF5" w:rsidRDefault="00894868" w:rsidP="00894868">
            <w:pPr>
              <w:snapToGrid w:val="0"/>
              <w:jc w:val="center"/>
              <w:rPr>
                <w:rFonts w:cs="Arial"/>
                <w:b/>
              </w:rPr>
            </w:pPr>
            <w:r w:rsidRPr="003446A6">
              <w:rPr>
                <w:rFonts w:cs="Arial"/>
                <w:b/>
                <w:kern w:val="2"/>
              </w:rPr>
              <w:lastRenderedPageBreak/>
              <w:t>Tak/Nie</w:t>
            </w:r>
          </w:p>
        </w:tc>
      </w:tr>
      <w:tr w:rsidR="00894868" w:rsidRPr="005C2DF5" w14:paraId="6F3F51F1" w14:textId="77777777" w:rsidTr="00E2755C">
        <w:trPr>
          <w:trHeight w:val="952"/>
        </w:trPr>
        <w:tc>
          <w:tcPr>
            <w:tcW w:w="916" w:type="dxa"/>
            <w:shd w:val="clear" w:color="auto" w:fill="auto"/>
          </w:tcPr>
          <w:p w14:paraId="7FB0F6AF" w14:textId="725413C3" w:rsidR="00894868" w:rsidRPr="00894868" w:rsidRDefault="00894868" w:rsidP="00894868">
            <w:pPr>
              <w:snapToGrid w:val="0"/>
              <w:spacing w:after="200"/>
              <w:ind w:left="426"/>
              <w:contextualSpacing/>
              <w:rPr>
                <w:rFonts w:cs="Arial"/>
                <w:b/>
              </w:rPr>
            </w:pPr>
            <w:r>
              <w:rPr>
                <w:rFonts w:cs="Arial"/>
                <w:b/>
                <w:kern w:val="2"/>
              </w:rPr>
              <w:t>2</w:t>
            </w:r>
            <w:r w:rsidRPr="00DE6D6D">
              <w:rPr>
                <w:rFonts w:cs="Arial"/>
                <w:b/>
                <w:kern w:val="2"/>
              </w:rPr>
              <w:t>.</w:t>
            </w:r>
          </w:p>
        </w:tc>
        <w:tc>
          <w:tcPr>
            <w:tcW w:w="3517" w:type="dxa"/>
            <w:tcBorders>
              <w:top w:val="nil"/>
              <w:left w:val="single" w:sz="4" w:space="0" w:color="000001"/>
              <w:right w:val="single" w:sz="4" w:space="0" w:color="000001"/>
            </w:tcBorders>
            <w:shd w:val="clear" w:color="auto" w:fill="auto"/>
          </w:tcPr>
          <w:p w14:paraId="42F496E1" w14:textId="1E8704C5" w:rsidR="00894868" w:rsidRPr="008226C7" w:rsidRDefault="00894868" w:rsidP="00894868">
            <w:pPr>
              <w:jc w:val="both"/>
              <w:rPr>
                <w:b/>
              </w:rPr>
            </w:pPr>
            <w:r w:rsidRPr="008226C7">
              <w:rPr>
                <w:rFonts w:cs="Arial"/>
                <w:b/>
                <w:kern w:val="2"/>
              </w:rPr>
              <w:t>Maksymalny limit dofinansowania</w:t>
            </w:r>
          </w:p>
        </w:tc>
        <w:tc>
          <w:tcPr>
            <w:tcW w:w="6197" w:type="dxa"/>
            <w:gridSpan w:val="2"/>
            <w:tcBorders>
              <w:top w:val="nil"/>
              <w:left w:val="single" w:sz="4" w:space="0" w:color="000001"/>
              <w:right w:val="single" w:sz="4" w:space="0" w:color="000001"/>
            </w:tcBorders>
            <w:shd w:val="clear" w:color="auto" w:fill="auto"/>
          </w:tcPr>
          <w:p w14:paraId="3CCEC6D1" w14:textId="77777777" w:rsidR="00894868" w:rsidRPr="00DE6D6D" w:rsidRDefault="00894868" w:rsidP="00894868">
            <w:pPr>
              <w:snapToGrid w:val="0"/>
              <w:jc w:val="both"/>
              <w:rPr>
                <w:rFonts w:cs="Arial"/>
                <w:kern w:val="2"/>
              </w:rPr>
            </w:pPr>
            <w:r w:rsidRPr="00DE6D6D">
              <w:rPr>
                <w:rFonts w:cs="Arial"/>
                <w:kern w:val="2"/>
              </w:rPr>
              <w:t>W ramach tego kryterium należy zweryfikować czy wyrażony procentowo (%) poziom dofinansowania projektu nie przekracza maksymalnego limitu.</w:t>
            </w:r>
          </w:p>
          <w:p w14:paraId="63AE242E" w14:textId="77777777" w:rsidR="00894868" w:rsidRPr="008344DA" w:rsidRDefault="00894868" w:rsidP="00894868">
            <w:pPr>
              <w:snapToGrid w:val="0"/>
              <w:jc w:val="both"/>
              <w:rPr>
                <w:rFonts w:cs="Arial"/>
                <w:kern w:val="2"/>
              </w:rPr>
            </w:pPr>
            <w:r w:rsidRPr="00DE6D6D">
              <w:rPr>
                <w:rFonts w:cs="Arial"/>
                <w:kern w:val="2"/>
              </w:rPr>
              <w:t xml:space="preserve">W przypadku projektów nie objętych pomocą publiczną oraz objętych pomocą de minimis maksymalny limit dofinansowania środków EFRR wynosi 85% wydatków kwalifikowalnych (dotyczy to zarówno poziomu grantodawcy jak i grantobiorcy). </w:t>
            </w:r>
            <w:r w:rsidRPr="00F37AD5">
              <w:rPr>
                <w:rFonts w:cs="Arial"/>
                <w:kern w:val="2"/>
              </w:rPr>
              <w:t>W przypadku pomocy udzielanej na podstawie GBER – zgodnie z limitem z rozporządzenia (dotyczy grantobiorcy).</w:t>
            </w:r>
          </w:p>
          <w:p w14:paraId="2AAED3E6" w14:textId="77777777" w:rsidR="00894868" w:rsidRPr="00DE6D6D" w:rsidRDefault="00894868" w:rsidP="00894868">
            <w:pPr>
              <w:jc w:val="both"/>
              <w:rPr>
                <w:rFonts w:cs="Arial"/>
                <w:kern w:val="2"/>
              </w:rPr>
            </w:pPr>
            <w:r w:rsidRPr="00DE6D6D">
              <w:rPr>
                <w:rFonts w:cs="Arial"/>
                <w:kern w:val="2"/>
              </w:rPr>
              <w:t>W przypadku pomocy de minimis weryfikowany będzie limit dla danego podmiotu (grantodawcy jak i grantobiorcy) w okresie trzech lat podatkowych, z uwzględnieniem wnioskowanej kwoty pomocy de minimis oraz pomocy de minimis otrzymanej z innych źródeł) który nie może przekroczyć równowartości 200 000 euro.</w:t>
            </w:r>
          </w:p>
          <w:p w14:paraId="1003FA92" w14:textId="77777777" w:rsidR="00894868" w:rsidRPr="00DE6D6D" w:rsidRDefault="00894868" w:rsidP="00894868">
            <w:pPr>
              <w:jc w:val="both"/>
              <w:rPr>
                <w:rFonts w:cs="Arial"/>
                <w:kern w:val="2"/>
              </w:rPr>
            </w:pPr>
            <w:r w:rsidRPr="00DE6D6D">
              <w:rPr>
                <w:rFonts w:cs="Arial"/>
                <w:kern w:val="2"/>
              </w:rPr>
              <w:t>Kryterium niespełnione jeśli:</w:t>
            </w:r>
          </w:p>
          <w:p w14:paraId="03B0689E" w14:textId="77777777" w:rsidR="00894868" w:rsidRPr="00DE6D6D" w:rsidRDefault="00894868" w:rsidP="00894868">
            <w:pPr>
              <w:pStyle w:val="Akapitzlist"/>
              <w:numPr>
                <w:ilvl w:val="0"/>
                <w:numId w:val="43"/>
              </w:numPr>
              <w:spacing w:after="200"/>
              <w:jc w:val="both"/>
              <w:rPr>
                <w:rFonts w:cs="Arial"/>
                <w:kern w:val="2"/>
              </w:rPr>
            </w:pPr>
            <w:r w:rsidRPr="00DE6D6D">
              <w:rPr>
                <w:rFonts w:cs="Arial"/>
                <w:kern w:val="2"/>
              </w:rPr>
              <w:t>przekroczony został wyrażony procentowo poziom dofinansowania projektu oraz</w:t>
            </w:r>
          </w:p>
          <w:p w14:paraId="21AA2402" w14:textId="77777777" w:rsidR="00894868" w:rsidRPr="00DE6D6D" w:rsidRDefault="00894868" w:rsidP="00894868">
            <w:pPr>
              <w:pStyle w:val="Akapitzlist"/>
              <w:numPr>
                <w:ilvl w:val="0"/>
                <w:numId w:val="43"/>
              </w:numPr>
              <w:spacing w:after="200"/>
              <w:jc w:val="both"/>
              <w:rPr>
                <w:rFonts w:cs="Arial"/>
                <w:kern w:val="2"/>
              </w:rPr>
            </w:pPr>
            <w:r w:rsidRPr="00DE6D6D">
              <w:rPr>
                <w:rFonts w:cs="Arial"/>
                <w:kern w:val="2"/>
              </w:rPr>
              <w:t>przekroczona została kwota limitu dla podmiotu otrzymującego pomoc de minimis</w:t>
            </w:r>
            <w:r>
              <w:rPr>
                <w:rFonts w:cs="Arial"/>
                <w:kern w:val="2"/>
              </w:rPr>
              <w:t xml:space="preserve"> </w:t>
            </w:r>
            <w:r w:rsidRPr="00DE6D6D">
              <w:rPr>
                <w:rFonts w:cs="Arial"/>
                <w:kern w:val="2"/>
              </w:rPr>
              <w:t>(grantodawcy) oraz</w:t>
            </w:r>
          </w:p>
          <w:p w14:paraId="17341375" w14:textId="77777777" w:rsidR="00894868" w:rsidRPr="00DE6D6D" w:rsidRDefault="00894868" w:rsidP="00894868">
            <w:pPr>
              <w:pStyle w:val="Akapitzlist"/>
              <w:numPr>
                <w:ilvl w:val="0"/>
                <w:numId w:val="43"/>
              </w:numPr>
              <w:spacing w:after="200"/>
              <w:jc w:val="both"/>
              <w:rPr>
                <w:rFonts w:cs="Arial"/>
                <w:kern w:val="2"/>
              </w:rPr>
            </w:pPr>
            <w:r w:rsidRPr="00DE6D6D">
              <w:t>jeżeli w projekcie nie zapewniono (nie opisano) mechanizmów wyboru grantobiorców z uwzględnieniem niniejszego kryterium oraz</w:t>
            </w:r>
          </w:p>
          <w:p w14:paraId="3C4D0098" w14:textId="43DB21DB" w:rsidR="00894868" w:rsidRPr="005C2DF5" w:rsidRDefault="00894868" w:rsidP="00894868">
            <w:pPr>
              <w:snapToGrid w:val="0"/>
              <w:jc w:val="both"/>
              <w:rPr>
                <w:rFonts w:cs="Arial"/>
              </w:rPr>
            </w:pPr>
            <w:r w:rsidRPr="00DE6D6D">
              <w:t>jeżeli w projekcie nie zapewniono (nie opisano) mechanizmów kontroli gwarantujących, że nie zostaną wprowadzone zmiany sprzeczne z niniejszym kryterium.</w:t>
            </w:r>
          </w:p>
        </w:tc>
        <w:tc>
          <w:tcPr>
            <w:tcW w:w="3406" w:type="dxa"/>
            <w:gridSpan w:val="2"/>
            <w:tcBorders>
              <w:top w:val="nil"/>
              <w:left w:val="single" w:sz="4" w:space="0" w:color="000001"/>
              <w:right w:val="single" w:sz="4" w:space="0" w:color="000001"/>
            </w:tcBorders>
            <w:shd w:val="clear" w:color="auto" w:fill="auto"/>
          </w:tcPr>
          <w:p w14:paraId="711C8C4D" w14:textId="48AEAACC" w:rsidR="00894868" w:rsidRPr="005C2DF5" w:rsidRDefault="00894868" w:rsidP="00894868">
            <w:pPr>
              <w:snapToGrid w:val="0"/>
              <w:jc w:val="center"/>
              <w:rPr>
                <w:rFonts w:cs="Arial"/>
                <w:b/>
              </w:rPr>
            </w:pPr>
            <w:r w:rsidRPr="003446A6">
              <w:rPr>
                <w:rFonts w:cs="Arial"/>
                <w:b/>
                <w:kern w:val="2"/>
              </w:rPr>
              <w:t>Tak/Nie</w:t>
            </w:r>
          </w:p>
        </w:tc>
      </w:tr>
      <w:tr w:rsidR="00894868" w:rsidRPr="005C2DF5" w14:paraId="4A01C779" w14:textId="77777777" w:rsidTr="00E2755C">
        <w:trPr>
          <w:trHeight w:val="952"/>
        </w:trPr>
        <w:tc>
          <w:tcPr>
            <w:tcW w:w="916" w:type="dxa"/>
            <w:shd w:val="clear" w:color="auto" w:fill="auto"/>
          </w:tcPr>
          <w:p w14:paraId="609462D4" w14:textId="49E840DD" w:rsidR="00894868" w:rsidRPr="00894868" w:rsidRDefault="00894868" w:rsidP="00894868">
            <w:pPr>
              <w:snapToGrid w:val="0"/>
              <w:spacing w:after="200"/>
              <w:ind w:left="426"/>
              <w:contextualSpacing/>
              <w:rPr>
                <w:rFonts w:cs="Arial"/>
                <w:b/>
              </w:rPr>
            </w:pPr>
            <w:r>
              <w:rPr>
                <w:rFonts w:cs="Arial"/>
                <w:b/>
                <w:kern w:val="2"/>
              </w:rPr>
              <w:lastRenderedPageBreak/>
              <w:t>3</w:t>
            </w:r>
            <w:r w:rsidRPr="0060258C">
              <w:rPr>
                <w:rFonts w:cs="Arial"/>
                <w:b/>
                <w:kern w:val="2"/>
              </w:rPr>
              <w:t>.</w:t>
            </w:r>
          </w:p>
        </w:tc>
        <w:tc>
          <w:tcPr>
            <w:tcW w:w="3517" w:type="dxa"/>
            <w:tcBorders>
              <w:top w:val="nil"/>
              <w:left w:val="single" w:sz="4" w:space="0" w:color="000001"/>
              <w:right w:val="single" w:sz="4" w:space="0" w:color="000001"/>
            </w:tcBorders>
            <w:shd w:val="clear" w:color="auto" w:fill="auto"/>
          </w:tcPr>
          <w:p w14:paraId="37A05939" w14:textId="6E0D42C3" w:rsidR="00894868" w:rsidRPr="008226C7" w:rsidRDefault="00894868" w:rsidP="00894868">
            <w:pPr>
              <w:jc w:val="both"/>
              <w:rPr>
                <w:b/>
              </w:rPr>
            </w:pPr>
            <w:r w:rsidRPr="008226C7">
              <w:rPr>
                <w:rFonts w:cs="Arial"/>
                <w:b/>
                <w:kern w:val="2"/>
              </w:rPr>
              <w:t>Limit kwotowy na źródło ciepła</w:t>
            </w:r>
          </w:p>
        </w:tc>
        <w:tc>
          <w:tcPr>
            <w:tcW w:w="6197" w:type="dxa"/>
            <w:gridSpan w:val="2"/>
            <w:tcBorders>
              <w:top w:val="nil"/>
              <w:left w:val="single" w:sz="4" w:space="0" w:color="000001"/>
              <w:right w:val="single" w:sz="4" w:space="0" w:color="000001"/>
            </w:tcBorders>
            <w:shd w:val="clear" w:color="auto" w:fill="auto"/>
          </w:tcPr>
          <w:p w14:paraId="0DC722F0" w14:textId="77777777" w:rsidR="00894868" w:rsidRPr="0060258C" w:rsidRDefault="00894868" w:rsidP="00894868">
            <w:pPr>
              <w:snapToGrid w:val="0"/>
              <w:jc w:val="both"/>
            </w:pPr>
            <w:r w:rsidRPr="0060258C">
              <w:rPr>
                <w:rFonts w:cs="Arial"/>
                <w:kern w:val="2"/>
              </w:rPr>
              <w:t>Należy zweryfikować czy w ramach projektu średnia wartość grantu na dom jednorodzinny / mieszkanie nie przekracza kwoty 35 000 zł niezależnie od liczby źródeł ciepła podlegających modernizacji (lub iloczynu tej kwoty i liczby mieszkań, jeśli grantobiorcą będzie podmiot inny niż osoba fizyczna, np. wspólnota czy spółdzielnia mieszkaniowa).</w:t>
            </w:r>
          </w:p>
          <w:p w14:paraId="2B93FA79" w14:textId="77777777" w:rsidR="00894868" w:rsidRPr="0060258C" w:rsidRDefault="00894868" w:rsidP="00894868">
            <w:pPr>
              <w:snapToGrid w:val="0"/>
              <w:jc w:val="both"/>
              <w:rPr>
                <w:rFonts w:cs="Arial"/>
                <w:kern w:val="2"/>
              </w:rPr>
            </w:pPr>
            <w:r w:rsidRPr="0060258C">
              <w:rPr>
                <w:rFonts w:cs="Arial"/>
                <w:kern w:val="2"/>
              </w:rPr>
              <w:t>Np. w domu jednorodzinnym, w którym kocioł węglowy zastępowany jest kotłem gazowym, wysokość grantu nie może przekroczyć w/w limitu</w:t>
            </w:r>
            <w:r>
              <w:rPr>
                <w:rFonts w:cs="Arial"/>
                <w:kern w:val="2"/>
              </w:rPr>
              <w:t>, chyba że źródło ciepła w innym domu zostanie wymienione za niższą kwotę i średnia cena wymiany źródeł ciepła w projekcie nie przekroczy kwoty limitu</w:t>
            </w:r>
            <w:r w:rsidRPr="0060258C">
              <w:rPr>
                <w:rFonts w:cs="Arial"/>
                <w:kern w:val="2"/>
              </w:rPr>
              <w:t>.</w:t>
            </w:r>
          </w:p>
          <w:p w14:paraId="66FCD104" w14:textId="77777777" w:rsidR="00894868" w:rsidRPr="0060258C" w:rsidRDefault="00894868" w:rsidP="00894868">
            <w:pPr>
              <w:snapToGrid w:val="0"/>
              <w:jc w:val="both"/>
              <w:rPr>
                <w:rFonts w:cs="Arial"/>
                <w:kern w:val="2"/>
              </w:rPr>
            </w:pPr>
            <w:r w:rsidRPr="0060258C">
              <w:rPr>
                <w:rFonts w:cs="Arial"/>
                <w:kern w:val="2"/>
              </w:rPr>
              <w:t xml:space="preserve">W budynku wielorodzinnym, w którym w 10 mieszkaniach znajduje się 20 źródła ciepła (np. po 2 piece kaflowe </w:t>
            </w:r>
            <w:r>
              <w:rPr>
                <w:rFonts w:cs="Arial"/>
                <w:kern w:val="2"/>
              </w:rPr>
              <w:t>w</w:t>
            </w:r>
            <w:r w:rsidRPr="0060258C">
              <w:rPr>
                <w:rFonts w:cs="Arial"/>
                <w:kern w:val="2"/>
              </w:rPr>
              <w:t xml:space="preserve"> mieszkani</w:t>
            </w:r>
            <w:r>
              <w:rPr>
                <w:rFonts w:cs="Arial"/>
                <w:kern w:val="2"/>
              </w:rPr>
              <w:t>u</w:t>
            </w:r>
            <w:r w:rsidRPr="0060258C">
              <w:rPr>
                <w:rFonts w:cs="Arial"/>
                <w:kern w:val="2"/>
              </w:rPr>
              <w:t>) zastępowane 10 kotłami gazowymi (po jednym na mieszkanie) limit wynosi 10 x 35 000 zł = 350 000 zł.</w:t>
            </w:r>
          </w:p>
          <w:p w14:paraId="0BEB7739" w14:textId="77777777" w:rsidR="00894868" w:rsidRPr="0060258C" w:rsidRDefault="00894868" w:rsidP="00894868">
            <w:pPr>
              <w:snapToGrid w:val="0"/>
              <w:jc w:val="both"/>
              <w:rPr>
                <w:rFonts w:cs="Arial"/>
                <w:kern w:val="2"/>
              </w:rPr>
            </w:pPr>
            <w:r w:rsidRPr="00F95EB2">
              <w:rPr>
                <w:rFonts w:cs="Arial"/>
                <w:kern w:val="2"/>
              </w:rPr>
              <w:t>W budynkach jednorodzinnych / mieszkaniach ogrzewanych źródłami zbiorczymi projekt oceniany będzie wyłącznie w oparciu o kryterium „</w:t>
            </w:r>
            <w:r w:rsidRPr="00F95EB2">
              <w:rPr>
                <w:rFonts w:cs="Arial"/>
                <w:b/>
              </w:rPr>
              <w:t>Zasadność i adekwatność wydatków”. W takim przypadku należy wybrać „Nie dotyczy”.</w:t>
            </w:r>
          </w:p>
          <w:p w14:paraId="63498758" w14:textId="77777777" w:rsidR="00894868" w:rsidRPr="0086733C" w:rsidRDefault="00894868" w:rsidP="00894868">
            <w:pPr>
              <w:snapToGrid w:val="0"/>
              <w:jc w:val="both"/>
            </w:pPr>
            <w:r w:rsidRPr="0086733C">
              <w:rPr>
                <w:rFonts w:cs="Arial"/>
                <w:kern w:val="2"/>
              </w:rPr>
              <w:t>Kwota 35 000 zł nie jest ryczałtem. W trakcie realizacji projektu rozliczeniu podlegają rzeczywiście poniesione wydatki.</w:t>
            </w:r>
          </w:p>
          <w:p w14:paraId="1D8BC35D" w14:textId="16DA194E" w:rsidR="00894868" w:rsidRPr="005C2DF5" w:rsidRDefault="00894868" w:rsidP="00894868">
            <w:pPr>
              <w:snapToGrid w:val="0"/>
              <w:jc w:val="both"/>
              <w:rPr>
                <w:rFonts w:cs="Arial"/>
              </w:rPr>
            </w:pPr>
            <w:r w:rsidRPr="0086733C">
              <w:t>Kryterium uznaje się za spełnione, jeżeli w projekcie zapewniono (opisano) mechanizmy wyboru grantobiorców z uwzględnieniem niniejszego kryterium. Jednocześnie w projekcie muszą być zapewnione (opisane) mechanizmy kontroli zarówno w fazie realizacji projektu jak i w okresie jego trwałości gwarantujące, że nie zostaną wprowadzone zmiany sprzeczne z niniejszym kryterium.</w:t>
            </w:r>
          </w:p>
        </w:tc>
        <w:tc>
          <w:tcPr>
            <w:tcW w:w="3406" w:type="dxa"/>
            <w:gridSpan w:val="2"/>
            <w:tcBorders>
              <w:top w:val="nil"/>
              <w:left w:val="single" w:sz="4" w:space="0" w:color="000001"/>
              <w:right w:val="single" w:sz="4" w:space="0" w:color="000001"/>
            </w:tcBorders>
            <w:shd w:val="clear" w:color="auto" w:fill="auto"/>
          </w:tcPr>
          <w:p w14:paraId="15D29098" w14:textId="4809931D" w:rsidR="00894868" w:rsidRPr="005C2DF5" w:rsidRDefault="00894868" w:rsidP="00E2755C">
            <w:pPr>
              <w:snapToGrid w:val="0"/>
              <w:jc w:val="center"/>
              <w:rPr>
                <w:rFonts w:cs="Arial"/>
                <w:b/>
              </w:rPr>
            </w:pPr>
            <w:r w:rsidRPr="0086733C">
              <w:rPr>
                <w:rFonts w:cs="Arial"/>
                <w:b/>
                <w:kern w:val="2"/>
              </w:rPr>
              <w:t>Tak/Nie</w:t>
            </w:r>
            <w:r>
              <w:rPr>
                <w:rFonts w:cs="Arial"/>
                <w:b/>
                <w:kern w:val="2"/>
              </w:rPr>
              <w:t>/Nie dotyczy</w:t>
            </w:r>
          </w:p>
        </w:tc>
      </w:tr>
      <w:tr w:rsidR="005C2DF5" w:rsidRPr="00D66237" w14:paraId="0BDB8CF0" w14:textId="77777777" w:rsidTr="00E2755C">
        <w:trPr>
          <w:trHeight w:val="952"/>
        </w:trPr>
        <w:tc>
          <w:tcPr>
            <w:tcW w:w="916" w:type="dxa"/>
            <w:shd w:val="clear" w:color="auto" w:fill="auto"/>
          </w:tcPr>
          <w:p w14:paraId="064A122B" w14:textId="5C25E749" w:rsidR="005C2DF5" w:rsidRPr="00D66237" w:rsidRDefault="008226C7" w:rsidP="00E2755C">
            <w:pPr>
              <w:snapToGrid w:val="0"/>
              <w:spacing w:after="200"/>
              <w:contextualSpacing/>
              <w:rPr>
                <w:rFonts w:asciiTheme="minorHAnsi" w:hAnsiTheme="minorHAnsi" w:cs="Arial"/>
                <w:b/>
              </w:rPr>
            </w:pPr>
            <w:r w:rsidRPr="00D66237">
              <w:rPr>
                <w:rFonts w:asciiTheme="minorHAnsi" w:hAnsiTheme="minorHAnsi" w:cs="Arial"/>
                <w:b/>
              </w:rPr>
              <w:t>4.</w:t>
            </w:r>
          </w:p>
        </w:tc>
        <w:tc>
          <w:tcPr>
            <w:tcW w:w="3517" w:type="dxa"/>
            <w:tcBorders>
              <w:top w:val="nil"/>
              <w:left w:val="single" w:sz="4" w:space="0" w:color="000001"/>
              <w:right w:val="single" w:sz="4" w:space="0" w:color="000001"/>
            </w:tcBorders>
            <w:shd w:val="clear" w:color="auto" w:fill="auto"/>
          </w:tcPr>
          <w:p w14:paraId="62A7B05E" w14:textId="77777777" w:rsidR="005C2DF5" w:rsidRPr="00D66237" w:rsidRDefault="005C2DF5" w:rsidP="0054487C">
            <w:pPr>
              <w:jc w:val="both"/>
              <w:rPr>
                <w:rFonts w:asciiTheme="minorHAnsi" w:hAnsiTheme="minorHAnsi"/>
                <w:b/>
                <w:vertAlign w:val="subscript"/>
              </w:rPr>
            </w:pPr>
            <w:r w:rsidRPr="00D66237">
              <w:rPr>
                <w:rFonts w:asciiTheme="minorHAnsi" w:hAnsiTheme="minorHAnsi"/>
                <w:b/>
              </w:rPr>
              <w:t>Maksymalne progi wskaźnika energii pierwotnej EP</w:t>
            </w:r>
            <w:r w:rsidRPr="00D66237">
              <w:rPr>
                <w:rFonts w:asciiTheme="minorHAnsi" w:hAnsiTheme="minorHAnsi"/>
                <w:b/>
                <w:vertAlign w:val="subscript"/>
              </w:rPr>
              <w:t xml:space="preserve"> H + W</w:t>
            </w:r>
          </w:p>
          <w:p w14:paraId="5626018E" w14:textId="77777777" w:rsidR="005C2DF5" w:rsidRPr="00D66237" w:rsidRDefault="005C2DF5" w:rsidP="0054487C">
            <w:pPr>
              <w:snapToGrid w:val="0"/>
              <w:rPr>
                <w:rFonts w:asciiTheme="minorHAnsi" w:hAnsiTheme="minorHAnsi" w:cs="Arial"/>
                <w:b/>
              </w:rPr>
            </w:pPr>
          </w:p>
        </w:tc>
        <w:tc>
          <w:tcPr>
            <w:tcW w:w="6197" w:type="dxa"/>
            <w:gridSpan w:val="2"/>
            <w:tcBorders>
              <w:top w:val="nil"/>
              <w:left w:val="single" w:sz="4" w:space="0" w:color="000001"/>
              <w:right w:val="single" w:sz="4" w:space="0" w:color="000001"/>
            </w:tcBorders>
            <w:shd w:val="clear" w:color="auto" w:fill="auto"/>
            <w:vAlign w:val="center"/>
          </w:tcPr>
          <w:p w14:paraId="0B1684A6" w14:textId="77777777" w:rsidR="005C2DF5" w:rsidRPr="00D66237" w:rsidRDefault="005C2DF5" w:rsidP="0054487C">
            <w:pPr>
              <w:snapToGrid w:val="0"/>
              <w:jc w:val="both"/>
              <w:rPr>
                <w:rFonts w:asciiTheme="minorHAnsi" w:hAnsiTheme="minorHAnsi"/>
              </w:rPr>
            </w:pPr>
            <w:r w:rsidRPr="00D66237">
              <w:rPr>
                <w:rFonts w:asciiTheme="minorHAnsi" w:hAnsiTheme="minorHAnsi" w:cs="Arial"/>
              </w:rPr>
              <w:t>Należy zweryfikować, czy wszystkie budynki jednorodzinne lub mieszkania w budynkach jednorodzinnych / wielorodzinnych spełniają przed realizacją projektu maksymalną wartość wskaźnika EP [kWh/(m</w:t>
            </w:r>
            <w:r w:rsidRPr="00D66237">
              <w:rPr>
                <w:rFonts w:asciiTheme="minorHAnsi" w:hAnsiTheme="minorHAnsi" w:cs="Arial"/>
                <w:vertAlign w:val="superscript"/>
              </w:rPr>
              <w:t>2</w:t>
            </w:r>
            <w:r w:rsidRPr="00D66237">
              <w:rPr>
                <w:rFonts w:asciiTheme="minorHAnsi" w:hAnsiTheme="minorHAnsi" w:cs="Arial"/>
              </w:rPr>
              <w:t xml:space="preserve"> · rok)], który określa roczne obliczeniowe zapotrzebowanie na nieodnawialną energię pierwotną do ogrzewania, wentylacji, chłodzenia oraz przygotowania ciepłej wody użytkowej.</w:t>
            </w:r>
          </w:p>
          <w:p w14:paraId="79EB8288"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Wartość współczynnika przed realizacją projektu nie może być wyższa niż 450 kWh/(m</w:t>
            </w:r>
            <w:r w:rsidRPr="00D66237">
              <w:rPr>
                <w:rFonts w:asciiTheme="minorHAnsi" w:hAnsiTheme="minorHAnsi" w:cs="Arial"/>
                <w:vertAlign w:val="superscript"/>
              </w:rPr>
              <w:t>2</w:t>
            </w:r>
            <w:r w:rsidRPr="00D66237">
              <w:rPr>
                <w:rFonts w:asciiTheme="minorHAnsi" w:hAnsiTheme="minorHAnsi" w:cs="Arial"/>
              </w:rPr>
              <w:t xml:space="preserve"> · rok)</w:t>
            </w:r>
          </w:p>
          <w:p w14:paraId="5AFB9E61" w14:textId="77777777" w:rsidR="005C2DF5" w:rsidRPr="00D66237" w:rsidRDefault="005C2DF5" w:rsidP="0054487C">
            <w:pPr>
              <w:snapToGrid w:val="0"/>
              <w:jc w:val="both"/>
              <w:rPr>
                <w:rFonts w:asciiTheme="minorHAnsi" w:hAnsiTheme="minorHAnsi"/>
              </w:rPr>
            </w:pPr>
            <w:r w:rsidRPr="00D66237">
              <w:rPr>
                <w:rFonts w:asciiTheme="minorHAnsi" w:hAnsiTheme="minorHAnsi" w:cs="Arial"/>
              </w:rPr>
              <w:t xml:space="preserve">Weryfikacja na podstawie świadectw charakterystyki energetycznej / audytów energetycznych / uproszczonych audytów energetycznych sporządzonych zgodnie z metodologią wskazaną przez Instytucję </w:t>
            </w:r>
            <w:r w:rsidRPr="00D66237">
              <w:rPr>
                <w:rFonts w:asciiTheme="minorHAnsi" w:hAnsiTheme="minorHAnsi" w:cs="Arial"/>
              </w:rPr>
              <w:lastRenderedPageBreak/>
              <w:t xml:space="preserve">Organizującą Konkurs. Dopuszcza się audyty energetyczne sporządzone przed datą upublicznienia metodologii o ile zawierają wszystkie niezbędne dla oceny spełniania niniejszych kryteriów informacje oraz sporządzone (zaktualizowane) nie wcześniej niż na dwa lata przed rokiem ogłoszenia konkursu. </w:t>
            </w:r>
          </w:p>
          <w:p w14:paraId="01F7DC90" w14:textId="77777777" w:rsidR="005C2DF5" w:rsidRPr="00D66237" w:rsidRDefault="005C2DF5" w:rsidP="0054487C">
            <w:pPr>
              <w:snapToGrid w:val="0"/>
              <w:jc w:val="both"/>
              <w:rPr>
                <w:rFonts w:asciiTheme="minorHAnsi" w:hAnsiTheme="minorHAnsi"/>
              </w:rPr>
            </w:pPr>
            <w:r w:rsidRPr="00D66237">
              <w:rPr>
                <w:rFonts w:asciiTheme="minorHAnsi" w:hAnsiTheme="minorHAnsi" w:cs="Arial"/>
              </w:rPr>
              <w:t>W przypadku budynków historycznych warunki powyższe mogą nie zostać spełnione, jeżeli w budynku / mieszkaniu przeprowadzono minimalne inwestycje na rzecz efektywności energetycznej, obejmujące co najmniej jeden z poniższych elementów:</w:t>
            </w:r>
          </w:p>
          <w:p w14:paraId="1CD53451" w14:textId="77777777" w:rsidR="005C2DF5" w:rsidRPr="00D66237" w:rsidRDefault="005C2DF5" w:rsidP="005C2DF5">
            <w:pPr>
              <w:numPr>
                <w:ilvl w:val="0"/>
                <w:numId w:val="50"/>
              </w:numPr>
              <w:snapToGrid w:val="0"/>
              <w:jc w:val="both"/>
              <w:rPr>
                <w:rFonts w:asciiTheme="minorHAnsi" w:hAnsiTheme="minorHAnsi"/>
              </w:rPr>
            </w:pPr>
            <w:bookmarkStart w:id="1" w:name="_Hlk525727367"/>
            <w:r w:rsidRPr="00D66237">
              <w:rPr>
                <w:rFonts w:asciiTheme="minorHAnsi" w:hAnsiTheme="minorHAnsi"/>
              </w:rPr>
              <w:t>wymianę w domu / mieszkaniu będącym przedmiotem projektu (w pomieszczeniach ogrzewanych), wszystkich okien na okna o lepszej charakterystyce  tj. nie gorszej niż Uk (max)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firstRow="1" w:lastRow="0" w:firstColumn="1" w:lastColumn="0" w:noHBand="0" w:noVBand="1"/>
            </w:tblPr>
            <w:tblGrid>
              <w:gridCol w:w="2680"/>
              <w:gridCol w:w="2549"/>
            </w:tblGrid>
            <w:tr w:rsidR="005C2DF5" w:rsidRPr="00D66237" w14:paraId="38D3B843" w14:textId="77777777" w:rsidTr="0054487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44BD27" w14:textId="77777777" w:rsidR="005C2DF5" w:rsidRPr="00D66237" w:rsidRDefault="005C2DF5" w:rsidP="0054487C">
                  <w:pPr>
                    <w:spacing w:after="0" w:line="240" w:lineRule="auto"/>
                    <w:rPr>
                      <w:i/>
                      <w:iCs/>
                      <w:sz w:val="20"/>
                      <w:szCs w:val="20"/>
                    </w:rPr>
                  </w:pPr>
                  <w:r w:rsidRPr="00D66237">
                    <w:rPr>
                      <w:i/>
                      <w:iCs/>
                      <w:sz w:val="20"/>
                      <w:szCs w:val="20"/>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1954B6" w14:textId="77777777" w:rsidR="005C2DF5" w:rsidRPr="00D66237" w:rsidRDefault="005C2DF5" w:rsidP="0054487C">
                  <w:pPr>
                    <w:spacing w:after="0" w:line="240" w:lineRule="auto"/>
                    <w:rPr>
                      <w:i/>
                      <w:iCs/>
                      <w:sz w:val="20"/>
                      <w:szCs w:val="20"/>
                    </w:rPr>
                  </w:pPr>
                  <w:r w:rsidRPr="00D66237">
                    <w:rPr>
                      <w:i/>
                      <w:iCs/>
                      <w:sz w:val="20"/>
                      <w:szCs w:val="20"/>
                    </w:rPr>
                    <w:t>Uk (max) okna [W/(m2*K)]  </w:t>
                  </w:r>
                </w:p>
              </w:tc>
            </w:tr>
            <w:tr w:rsidR="005C2DF5" w:rsidRPr="00D66237" w14:paraId="43AB921E" w14:textId="77777777" w:rsidTr="0054487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0BCC8" w14:textId="77777777" w:rsidR="005C2DF5" w:rsidRPr="00D66237" w:rsidRDefault="005C2DF5" w:rsidP="0054487C">
                  <w:pPr>
                    <w:spacing w:after="0" w:line="240" w:lineRule="auto"/>
                    <w:jc w:val="center"/>
                    <w:rPr>
                      <w:i/>
                      <w:iCs/>
                      <w:sz w:val="20"/>
                      <w:szCs w:val="20"/>
                    </w:rPr>
                  </w:pPr>
                  <w:r w:rsidRPr="00D66237">
                    <w:rPr>
                      <w:i/>
                      <w:iCs/>
                      <w:sz w:val="20"/>
                      <w:szCs w:val="20"/>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0D67015A" w14:textId="77777777" w:rsidR="005C2DF5" w:rsidRPr="00D66237" w:rsidRDefault="005C2DF5" w:rsidP="0054487C">
                  <w:pPr>
                    <w:spacing w:after="0" w:line="240" w:lineRule="auto"/>
                    <w:jc w:val="center"/>
                    <w:rPr>
                      <w:i/>
                      <w:iCs/>
                      <w:sz w:val="20"/>
                      <w:szCs w:val="20"/>
                    </w:rPr>
                  </w:pPr>
                  <w:r w:rsidRPr="00D66237">
                    <w:rPr>
                      <w:i/>
                      <w:iCs/>
                      <w:sz w:val="20"/>
                      <w:szCs w:val="20"/>
                    </w:rPr>
                    <w:t>2,0 - 2,2</w:t>
                  </w:r>
                </w:p>
              </w:tc>
            </w:tr>
            <w:tr w:rsidR="005C2DF5" w:rsidRPr="00D66237" w14:paraId="73C20AD7" w14:textId="77777777" w:rsidTr="0054487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15A1F" w14:textId="77777777" w:rsidR="005C2DF5" w:rsidRPr="00D66237" w:rsidRDefault="005C2DF5" w:rsidP="0054487C">
                  <w:pPr>
                    <w:spacing w:after="0" w:line="240" w:lineRule="auto"/>
                    <w:jc w:val="center"/>
                    <w:rPr>
                      <w:i/>
                      <w:iCs/>
                      <w:sz w:val="20"/>
                      <w:szCs w:val="20"/>
                    </w:rPr>
                  </w:pPr>
                  <w:r w:rsidRPr="00D66237">
                    <w:rPr>
                      <w:i/>
                      <w:iCs/>
                      <w:sz w:val="20"/>
                      <w:szCs w:val="20"/>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3CBB2D34" w14:textId="77777777" w:rsidR="005C2DF5" w:rsidRPr="00D66237" w:rsidRDefault="005C2DF5" w:rsidP="0054487C">
                  <w:pPr>
                    <w:spacing w:after="0" w:line="240" w:lineRule="auto"/>
                    <w:jc w:val="center"/>
                    <w:rPr>
                      <w:i/>
                      <w:iCs/>
                      <w:sz w:val="20"/>
                      <w:szCs w:val="20"/>
                    </w:rPr>
                  </w:pPr>
                  <w:r w:rsidRPr="00D66237">
                    <w:rPr>
                      <w:i/>
                      <w:iCs/>
                      <w:sz w:val="20"/>
                      <w:szCs w:val="20"/>
                    </w:rPr>
                    <w:t>1,9 - 2,2</w:t>
                  </w:r>
                </w:p>
              </w:tc>
            </w:tr>
            <w:tr w:rsidR="005C2DF5" w:rsidRPr="00D66237" w14:paraId="4D7FFBAF" w14:textId="77777777" w:rsidTr="0054487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6C9F8" w14:textId="77777777" w:rsidR="005C2DF5" w:rsidRPr="00D66237" w:rsidRDefault="005C2DF5" w:rsidP="0054487C">
                  <w:pPr>
                    <w:spacing w:after="0" w:line="240" w:lineRule="auto"/>
                    <w:jc w:val="center"/>
                    <w:rPr>
                      <w:i/>
                      <w:iCs/>
                      <w:sz w:val="20"/>
                      <w:szCs w:val="20"/>
                    </w:rPr>
                  </w:pPr>
                  <w:r w:rsidRPr="00D66237">
                    <w:rPr>
                      <w:i/>
                      <w:iCs/>
                      <w:sz w:val="20"/>
                      <w:szCs w:val="20"/>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491F36A4" w14:textId="77777777" w:rsidR="005C2DF5" w:rsidRPr="00D66237" w:rsidRDefault="005C2DF5" w:rsidP="0054487C">
                  <w:pPr>
                    <w:spacing w:after="0" w:line="240" w:lineRule="auto"/>
                    <w:jc w:val="center"/>
                    <w:rPr>
                      <w:i/>
                      <w:iCs/>
                      <w:sz w:val="20"/>
                      <w:szCs w:val="20"/>
                    </w:rPr>
                  </w:pPr>
                  <w:r w:rsidRPr="00D66237">
                    <w:rPr>
                      <w:i/>
                      <w:iCs/>
                      <w:sz w:val="20"/>
                      <w:szCs w:val="20"/>
                    </w:rPr>
                    <w:t>1,6 - 2,2</w:t>
                  </w:r>
                </w:p>
              </w:tc>
            </w:tr>
            <w:tr w:rsidR="005C2DF5" w:rsidRPr="00D66237" w14:paraId="1B30421D" w14:textId="77777777" w:rsidTr="0054487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734B4" w14:textId="77777777" w:rsidR="005C2DF5" w:rsidRPr="00D66237" w:rsidRDefault="005C2DF5" w:rsidP="0054487C">
                  <w:pPr>
                    <w:spacing w:after="0" w:line="240" w:lineRule="auto"/>
                    <w:jc w:val="center"/>
                    <w:rPr>
                      <w:i/>
                      <w:iCs/>
                      <w:sz w:val="20"/>
                      <w:szCs w:val="20"/>
                    </w:rPr>
                  </w:pPr>
                  <w:r w:rsidRPr="00D66237">
                    <w:rPr>
                      <w:i/>
                      <w:iCs/>
                      <w:sz w:val="20"/>
                      <w:szCs w:val="20"/>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5DDDA5D8" w14:textId="77777777" w:rsidR="005C2DF5" w:rsidRPr="00D66237" w:rsidRDefault="005C2DF5" w:rsidP="0054487C">
                  <w:pPr>
                    <w:spacing w:after="0" w:line="240" w:lineRule="auto"/>
                    <w:jc w:val="center"/>
                    <w:rPr>
                      <w:i/>
                      <w:iCs/>
                      <w:sz w:val="20"/>
                      <w:szCs w:val="20"/>
                    </w:rPr>
                  </w:pPr>
                  <w:r w:rsidRPr="00D66237">
                    <w:rPr>
                      <w:i/>
                      <w:iCs/>
                      <w:sz w:val="20"/>
                      <w:szCs w:val="20"/>
                    </w:rPr>
                    <w:t>1,5 - 1,7</w:t>
                  </w:r>
                </w:p>
              </w:tc>
            </w:tr>
            <w:tr w:rsidR="005C2DF5" w:rsidRPr="00D66237" w14:paraId="022C7543" w14:textId="77777777" w:rsidTr="0054487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50291" w14:textId="77777777" w:rsidR="005C2DF5" w:rsidRPr="00D66237" w:rsidRDefault="005C2DF5" w:rsidP="0054487C">
                  <w:pPr>
                    <w:spacing w:after="0" w:line="240" w:lineRule="auto"/>
                    <w:jc w:val="center"/>
                    <w:rPr>
                      <w:i/>
                      <w:iCs/>
                      <w:sz w:val="20"/>
                      <w:szCs w:val="20"/>
                    </w:rPr>
                  </w:pPr>
                  <w:r w:rsidRPr="00D66237">
                    <w:rPr>
                      <w:i/>
                      <w:iCs/>
                      <w:sz w:val="20"/>
                      <w:szCs w:val="20"/>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2F2038B6" w14:textId="77777777" w:rsidR="005C2DF5" w:rsidRPr="00D66237" w:rsidRDefault="005C2DF5" w:rsidP="0054487C">
                  <w:pPr>
                    <w:spacing w:after="0" w:line="240" w:lineRule="auto"/>
                    <w:jc w:val="center"/>
                    <w:rPr>
                      <w:i/>
                      <w:iCs/>
                      <w:sz w:val="20"/>
                      <w:szCs w:val="20"/>
                    </w:rPr>
                  </w:pPr>
                  <w:r w:rsidRPr="00D66237">
                    <w:rPr>
                      <w:i/>
                      <w:iCs/>
                      <w:sz w:val="20"/>
                      <w:szCs w:val="20"/>
                    </w:rPr>
                    <w:t>1,3 - 1,5</w:t>
                  </w:r>
                </w:p>
              </w:tc>
            </w:tr>
            <w:tr w:rsidR="005C2DF5" w:rsidRPr="00D66237" w14:paraId="02F6CB18" w14:textId="77777777" w:rsidTr="0054487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B4854" w14:textId="77777777" w:rsidR="005C2DF5" w:rsidRPr="00D66237" w:rsidRDefault="005C2DF5" w:rsidP="0054487C">
                  <w:pPr>
                    <w:spacing w:after="0" w:line="240" w:lineRule="auto"/>
                    <w:jc w:val="center"/>
                    <w:rPr>
                      <w:i/>
                      <w:iCs/>
                      <w:sz w:val="20"/>
                      <w:szCs w:val="20"/>
                    </w:rPr>
                  </w:pPr>
                  <w:r w:rsidRPr="00D66237">
                    <w:rPr>
                      <w:i/>
                      <w:iCs/>
                      <w:sz w:val="20"/>
                      <w:szCs w:val="20"/>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2632B92D" w14:textId="77777777" w:rsidR="005C2DF5" w:rsidRPr="00D66237" w:rsidRDefault="005C2DF5" w:rsidP="0054487C">
                  <w:pPr>
                    <w:spacing w:after="0" w:line="240" w:lineRule="auto"/>
                    <w:jc w:val="center"/>
                    <w:rPr>
                      <w:i/>
                      <w:iCs/>
                      <w:sz w:val="20"/>
                      <w:szCs w:val="20"/>
                    </w:rPr>
                  </w:pPr>
                  <w:r w:rsidRPr="00D66237">
                    <w:rPr>
                      <w:i/>
                      <w:iCs/>
                      <w:sz w:val="20"/>
                      <w:szCs w:val="20"/>
                    </w:rPr>
                    <w:t>1,1 - 0,9</w:t>
                  </w:r>
                </w:p>
              </w:tc>
            </w:tr>
          </w:tbl>
          <w:p w14:paraId="50D9FFBB" w14:textId="77777777" w:rsidR="005C2DF5" w:rsidRPr="00D66237" w:rsidRDefault="005C2DF5" w:rsidP="0054487C">
            <w:pPr>
              <w:snapToGrid w:val="0"/>
              <w:jc w:val="both"/>
              <w:rPr>
                <w:rFonts w:asciiTheme="minorHAnsi" w:hAnsiTheme="minorHAnsi"/>
              </w:rPr>
            </w:pPr>
          </w:p>
          <w:p w14:paraId="563482A0" w14:textId="77777777" w:rsidR="005C2DF5" w:rsidRPr="00D66237" w:rsidRDefault="005C2DF5" w:rsidP="005C2DF5">
            <w:pPr>
              <w:numPr>
                <w:ilvl w:val="0"/>
                <w:numId w:val="50"/>
              </w:numPr>
              <w:snapToGrid w:val="0"/>
              <w:jc w:val="both"/>
              <w:rPr>
                <w:rFonts w:asciiTheme="minorHAnsi" w:hAnsiTheme="minorHAnsi"/>
              </w:rPr>
            </w:pPr>
            <w:r w:rsidRPr="00D66237">
              <w:rPr>
                <w:rFonts w:asciiTheme="minorHAnsi" w:hAnsiTheme="minorHAnsi"/>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14:paraId="37840EDD" w14:textId="77777777" w:rsidR="005C2DF5" w:rsidRPr="00D66237" w:rsidRDefault="005C2DF5" w:rsidP="005C2DF5">
            <w:pPr>
              <w:numPr>
                <w:ilvl w:val="0"/>
                <w:numId w:val="50"/>
              </w:numPr>
              <w:snapToGrid w:val="0"/>
              <w:spacing w:after="200"/>
              <w:jc w:val="both"/>
              <w:rPr>
                <w:rFonts w:asciiTheme="minorHAnsi" w:hAnsiTheme="minorHAnsi"/>
              </w:rPr>
            </w:pPr>
            <w:r w:rsidRPr="00D66237">
              <w:rPr>
                <w:rFonts w:asciiTheme="minorHAnsi" w:hAnsiTheme="minorHAnsi"/>
              </w:rPr>
              <w:t>zastosowanie wentylacji z odzyskiem ciepła.</w:t>
            </w:r>
          </w:p>
          <w:bookmarkEnd w:id="1"/>
          <w:p w14:paraId="603B0CD9" w14:textId="77777777" w:rsidR="005C2DF5" w:rsidRPr="00D66237" w:rsidRDefault="005C2DF5" w:rsidP="0054487C">
            <w:pPr>
              <w:snapToGrid w:val="0"/>
              <w:jc w:val="both"/>
              <w:rPr>
                <w:rFonts w:asciiTheme="minorHAnsi" w:hAnsiTheme="minorHAnsi"/>
              </w:rPr>
            </w:pPr>
            <w:r w:rsidRPr="00D66237">
              <w:rPr>
                <w:rFonts w:asciiTheme="minorHAnsi" w:hAnsiTheme="minorHAnsi" w:cs="Arial"/>
              </w:rPr>
              <w:t>Warunek ten musi być spełniony we wszystkich budynkach historycznych / mieszkaniach w budynkach historycznych będących przedmiotem projektu.</w:t>
            </w:r>
          </w:p>
          <w:p w14:paraId="5468D57F"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lastRenderedPageBreak/>
              <w:t xml:space="preserve">Przez budynek historyczny należy rozumieć konkretny budynek indywidualnie wpisany do rejestru zabytków lub wpisany do wykazu zabytków  Wojewódzkiego Urzędu Ochrony Zabytków lub  gminnej ewidencji zabytków. Budynek nie wpisany indywidualnie do rejestru / wykazu zabytków lub gminnej ewidencji zabytków nie jest budynkiem historycznym, nawet jeśli znajduje się na obszarze wpisanym do rejestru zabytków lub  gminnej ewidencji zabytków. </w:t>
            </w:r>
          </w:p>
          <w:p w14:paraId="54D33BDB" w14:textId="77777777" w:rsidR="005C2DF5" w:rsidRPr="00D66237" w:rsidRDefault="005C2DF5" w:rsidP="0054487C">
            <w:pPr>
              <w:snapToGrid w:val="0"/>
              <w:jc w:val="both"/>
              <w:rPr>
                <w:rFonts w:asciiTheme="minorHAnsi" w:hAnsiTheme="minorHAnsi" w:cs="MS Sans Serif"/>
              </w:rPr>
            </w:pPr>
            <w:r w:rsidRPr="00D66237">
              <w:rPr>
                <w:rFonts w:asciiTheme="minorHAnsi" w:hAnsiTheme="minorHAnsi" w:cs="Arial"/>
              </w:rPr>
              <w:t xml:space="preserve">Instytucja Organizująca Konkurs wskaże w regulaminie konkursu aktualny link do rejestru zabytków / wykazu zabytków </w:t>
            </w:r>
            <w:r w:rsidRPr="00D66237">
              <w:rPr>
                <w:rFonts w:asciiTheme="minorHAnsi" w:hAnsiTheme="minorHAnsi" w:cs="MS Sans Serif"/>
              </w:rPr>
              <w:t>Wojewódzkiego Urzędu Ochrony Zabytków we Wrocławiu.</w:t>
            </w:r>
          </w:p>
          <w:p w14:paraId="46AC2EC7"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Definicje budynków – patrz kryterium „</w:t>
            </w:r>
            <w:r w:rsidRPr="00D66237">
              <w:rPr>
                <w:rFonts w:asciiTheme="minorHAnsi" w:hAnsiTheme="minorHAnsi" w:cs="Arial"/>
                <w:b/>
              </w:rPr>
              <w:t>Zgodność z RPO</w:t>
            </w:r>
            <w:r w:rsidRPr="00D66237">
              <w:rPr>
                <w:rFonts w:asciiTheme="minorHAnsi" w:hAnsiTheme="minorHAnsi" w:cs="Arial"/>
              </w:rPr>
              <w:t>”.</w:t>
            </w:r>
          </w:p>
          <w:p w14:paraId="568B698D" w14:textId="77777777" w:rsidR="005C2DF5" w:rsidRPr="00D66237" w:rsidRDefault="005C2DF5" w:rsidP="0054487C">
            <w:pPr>
              <w:snapToGrid w:val="0"/>
              <w:jc w:val="both"/>
              <w:rPr>
                <w:rFonts w:asciiTheme="minorHAnsi" w:hAnsiTheme="minorHAnsi"/>
              </w:rPr>
            </w:pPr>
            <w:r w:rsidRPr="00D66237">
              <w:rPr>
                <w:rFonts w:asciiTheme="minorHAnsi" w:hAnsiTheme="minorHAnsi"/>
              </w:rPr>
              <w:t>Kryterium uznaje się za spełnione, jeżeli w projekcie zapewniono (opisano) mechanizmy wyboru grantobiorców z uwzględnieniem niniejszego kryterium. Jednocześnie w projekcie muszą być zapewnione (opisane) mechanizmy kontroli zarówno w fazie realizacji projektu jak i w okresie jego trwałości gwarantujące, że nie zostaną wprowadzone zmiany sprzeczne z niniejszym kryterium.</w:t>
            </w:r>
          </w:p>
        </w:tc>
        <w:tc>
          <w:tcPr>
            <w:tcW w:w="3406" w:type="dxa"/>
            <w:gridSpan w:val="2"/>
            <w:tcBorders>
              <w:top w:val="nil"/>
              <w:left w:val="single" w:sz="4" w:space="0" w:color="000001"/>
              <w:right w:val="single" w:sz="4" w:space="0" w:color="000001"/>
            </w:tcBorders>
            <w:shd w:val="clear" w:color="auto" w:fill="auto"/>
          </w:tcPr>
          <w:p w14:paraId="3D5D1738" w14:textId="77777777" w:rsidR="005C2DF5" w:rsidRPr="00D66237" w:rsidRDefault="005C2DF5" w:rsidP="00E2755C">
            <w:pPr>
              <w:snapToGrid w:val="0"/>
              <w:jc w:val="center"/>
              <w:rPr>
                <w:rFonts w:asciiTheme="minorHAnsi" w:hAnsiTheme="minorHAnsi" w:cs="Arial"/>
                <w:b/>
              </w:rPr>
            </w:pPr>
            <w:r w:rsidRPr="00D66237">
              <w:rPr>
                <w:rFonts w:asciiTheme="minorHAnsi" w:hAnsiTheme="minorHAnsi" w:cs="Arial"/>
                <w:b/>
              </w:rPr>
              <w:lastRenderedPageBreak/>
              <w:t>Tak/Nie</w:t>
            </w:r>
          </w:p>
          <w:p w14:paraId="2D1EA638" w14:textId="72EA6506" w:rsidR="005C2DF5" w:rsidRPr="00D66237" w:rsidRDefault="005C2DF5" w:rsidP="008226C7">
            <w:pPr>
              <w:snapToGrid w:val="0"/>
              <w:rPr>
                <w:rFonts w:asciiTheme="minorHAnsi" w:hAnsiTheme="minorHAnsi" w:cs="Arial"/>
              </w:rPr>
            </w:pPr>
          </w:p>
        </w:tc>
      </w:tr>
      <w:tr w:rsidR="005C2DF5" w:rsidRPr="00D66237" w14:paraId="58B9567F" w14:textId="77777777" w:rsidTr="00E2755C">
        <w:trPr>
          <w:trHeight w:val="274"/>
        </w:trPr>
        <w:tc>
          <w:tcPr>
            <w:tcW w:w="916" w:type="dxa"/>
            <w:shd w:val="clear" w:color="auto" w:fill="auto"/>
          </w:tcPr>
          <w:p w14:paraId="00BA7775" w14:textId="3526C7DE" w:rsidR="005C2DF5" w:rsidRPr="00D66237" w:rsidRDefault="008226C7" w:rsidP="008226C7">
            <w:pPr>
              <w:snapToGrid w:val="0"/>
              <w:ind w:left="426"/>
              <w:contextualSpacing/>
              <w:rPr>
                <w:rFonts w:asciiTheme="minorHAnsi" w:hAnsiTheme="minorHAnsi" w:cs="Arial"/>
                <w:b/>
              </w:rPr>
            </w:pPr>
            <w:r w:rsidRPr="00D66237">
              <w:rPr>
                <w:rFonts w:asciiTheme="minorHAnsi" w:hAnsiTheme="minorHAnsi" w:cs="Arial"/>
                <w:b/>
              </w:rPr>
              <w:lastRenderedPageBreak/>
              <w:t>5.</w:t>
            </w:r>
          </w:p>
        </w:tc>
        <w:tc>
          <w:tcPr>
            <w:tcW w:w="3517" w:type="dxa"/>
            <w:tcBorders>
              <w:top w:val="nil"/>
              <w:left w:val="single" w:sz="4" w:space="0" w:color="000001"/>
              <w:right w:val="single" w:sz="4" w:space="0" w:color="000001"/>
            </w:tcBorders>
            <w:shd w:val="clear" w:color="auto" w:fill="auto"/>
          </w:tcPr>
          <w:p w14:paraId="76B3D28B" w14:textId="3A22E98F" w:rsidR="005C2DF5" w:rsidRPr="00D66237" w:rsidRDefault="005C2DF5" w:rsidP="00E2755C">
            <w:pPr>
              <w:snapToGrid w:val="0"/>
              <w:rPr>
                <w:rFonts w:asciiTheme="minorHAnsi" w:hAnsiTheme="minorHAnsi" w:cs="Arial"/>
                <w:b/>
              </w:rPr>
            </w:pPr>
            <w:r w:rsidRPr="00D66237">
              <w:rPr>
                <w:rFonts w:asciiTheme="minorHAnsi" w:hAnsiTheme="minorHAnsi" w:cs="Arial"/>
                <w:b/>
              </w:rPr>
              <w:t>Zgodność z RPO</w:t>
            </w:r>
          </w:p>
        </w:tc>
        <w:tc>
          <w:tcPr>
            <w:tcW w:w="6197" w:type="dxa"/>
            <w:gridSpan w:val="2"/>
            <w:tcBorders>
              <w:top w:val="nil"/>
              <w:left w:val="single" w:sz="4" w:space="0" w:color="000001"/>
              <w:right w:val="single" w:sz="4" w:space="0" w:color="000001"/>
            </w:tcBorders>
            <w:shd w:val="clear" w:color="auto" w:fill="auto"/>
          </w:tcPr>
          <w:p w14:paraId="6BA11F42"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W ramach kryterium należy zweryfikować czy:</w:t>
            </w:r>
          </w:p>
          <w:p w14:paraId="1F3919D8" w14:textId="77777777" w:rsidR="005C2DF5" w:rsidRPr="00D66237" w:rsidRDefault="005C2DF5" w:rsidP="005C2DF5">
            <w:pPr>
              <w:pStyle w:val="Akapitzlist"/>
              <w:numPr>
                <w:ilvl w:val="0"/>
                <w:numId w:val="53"/>
              </w:numPr>
              <w:snapToGrid w:val="0"/>
              <w:jc w:val="both"/>
              <w:rPr>
                <w:rFonts w:asciiTheme="minorHAnsi" w:hAnsiTheme="minorHAnsi"/>
              </w:rPr>
            </w:pPr>
            <w:r w:rsidRPr="00D66237">
              <w:rPr>
                <w:rFonts w:asciiTheme="minorHAnsi" w:hAnsiTheme="minorHAnsi"/>
              </w:rPr>
              <w:t>projekt realizowany jest w domach jednorodzinnych i/lub wielorodzinnych budynkach mieszkalnych;</w:t>
            </w:r>
          </w:p>
          <w:p w14:paraId="6CA1387A" w14:textId="77777777" w:rsidR="005C2DF5" w:rsidRPr="00D66237" w:rsidRDefault="005C2DF5" w:rsidP="005C2DF5">
            <w:pPr>
              <w:pStyle w:val="Akapitzlist"/>
              <w:numPr>
                <w:ilvl w:val="0"/>
                <w:numId w:val="53"/>
              </w:numPr>
              <w:snapToGrid w:val="0"/>
              <w:jc w:val="both"/>
              <w:rPr>
                <w:rFonts w:asciiTheme="minorHAnsi" w:hAnsiTheme="minorHAnsi"/>
              </w:rPr>
            </w:pPr>
            <w:r w:rsidRPr="00D66237">
              <w:rPr>
                <w:rFonts w:asciiTheme="minorHAnsi" w:hAnsiTheme="minorHAnsi"/>
              </w:rPr>
              <w:t>w każdym budynku / mieszkaniu wymianie podlega dotychczasowe wysokoemisyjne źródło ciepła;</w:t>
            </w:r>
          </w:p>
          <w:p w14:paraId="00008554" w14:textId="77777777" w:rsidR="005C2DF5" w:rsidRPr="00D66237" w:rsidRDefault="005C2DF5" w:rsidP="005C2DF5">
            <w:pPr>
              <w:pStyle w:val="Akapitzlist"/>
              <w:numPr>
                <w:ilvl w:val="0"/>
                <w:numId w:val="53"/>
              </w:numPr>
              <w:snapToGrid w:val="0"/>
              <w:jc w:val="both"/>
              <w:rPr>
                <w:rFonts w:asciiTheme="minorHAnsi" w:hAnsiTheme="minorHAnsi"/>
              </w:rPr>
            </w:pPr>
            <w:r w:rsidRPr="00D66237">
              <w:rPr>
                <w:rFonts w:asciiTheme="minorHAnsi" w:hAnsiTheme="minorHAnsi"/>
              </w:rPr>
              <w:t>wymiana każdego wysokoemisyjnego źródła ciepła w projekcie prowadzi do redukcji emisji CO</w:t>
            </w:r>
            <w:r w:rsidRPr="00D66237">
              <w:rPr>
                <w:rFonts w:asciiTheme="minorHAnsi" w:hAnsiTheme="minorHAnsi"/>
                <w:vertAlign w:val="subscript"/>
              </w:rPr>
              <w:t xml:space="preserve">2 </w:t>
            </w:r>
            <w:r w:rsidRPr="00D66237">
              <w:rPr>
                <w:rFonts w:asciiTheme="minorHAnsi" w:hAnsiTheme="minorHAnsi"/>
              </w:rPr>
              <w:t>(co najmniej o 30% w przypadku zamiany paliwa) nie wystarczy wykazanie, że łącznie w projekcie nastąpiła redukcja – nie dotyczy sieci ciepłowniczej;</w:t>
            </w:r>
          </w:p>
          <w:p w14:paraId="2F07954C" w14:textId="77777777" w:rsidR="005C2DF5" w:rsidRPr="00D66237" w:rsidRDefault="005C2DF5" w:rsidP="005C2DF5">
            <w:pPr>
              <w:pStyle w:val="Akapitzlist"/>
              <w:numPr>
                <w:ilvl w:val="0"/>
                <w:numId w:val="53"/>
              </w:numPr>
              <w:snapToGrid w:val="0"/>
              <w:jc w:val="both"/>
              <w:rPr>
                <w:rFonts w:asciiTheme="minorHAnsi" w:hAnsiTheme="minorHAnsi"/>
              </w:rPr>
            </w:pPr>
            <w:r w:rsidRPr="00D66237">
              <w:rPr>
                <w:rFonts w:asciiTheme="minorHAnsi" w:hAnsiTheme="minorHAnsi"/>
              </w:rPr>
              <w:t>wymiana każdego wysokoemisyjnego źródła ciepła w projekcie prowadzi do redukcji emisji pyłów zawieszonych PM 10 i PM 2,5 nie wystarczy wykazanie, że łącznie w projekcie nastąpiła redukcja – nie dotyczy sieci ciepłowniczej;</w:t>
            </w:r>
          </w:p>
          <w:p w14:paraId="50F75DC6" w14:textId="77777777" w:rsidR="005C2DF5" w:rsidRPr="00D66237" w:rsidRDefault="005C2DF5" w:rsidP="005C2DF5">
            <w:pPr>
              <w:pStyle w:val="Akapitzlist"/>
              <w:numPr>
                <w:ilvl w:val="0"/>
                <w:numId w:val="53"/>
              </w:numPr>
              <w:snapToGrid w:val="0"/>
              <w:jc w:val="both"/>
              <w:rPr>
                <w:rFonts w:asciiTheme="minorHAnsi" w:hAnsiTheme="minorHAnsi"/>
              </w:rPr>
            </w:pPr>
            <w:r w:rsidRPr="00D66237">
              <w:rPr>
                <w:rFonts w:asciiTheme="minorHAnsi" w:hAnsiTheme="minorHAnsi"/>
              </w:rPr>
              <w:t>w każdym budynku / mieszkaniach istnieje lub przewidziano instalację systemu zarządzania energią;</w:t>
            </w:r>
          </w:p>
          <w:p w14:paraId="3CD56267" w14:textId="77777777" w:rsidR="005C2DF5" w:rsidRPr="00D66237" w:rsidRDefault="005C2DF5" w:rsidP="005C2DF5">
            <w:pPr>
              <w:pStyle w:val="Akapitzlist"/>
              <w:numPr>
                <w:ilvl w:val="0"/>
                <w:numId w:val="53"/>
              </w:numPr>
              <w:jc w:val="both"/>
              <w:rPr>
                <w:rFonts w:asciiTheme="minorHAnsi" w:hAnsiTheme="minorHAnsi"/>
              </w:rPr>
            </w:pPr>
            <w:r w:rsidRPr="00D66237">
              <w:rPr>
                <w:rFonts w:asciiTheme="minorHAnsi" w:hAnsiTheme="minorHAnsi"/>
              </w:rPr>
              <w:t>czy moc instalacji do produkcji energii elektrycznej z OZE obliczona została tak aby zaspokajać wyłącznie potrzeby budynku / mieszkania, w którym wymianie podlega źródło ciepła (dopuszcza się oddawanie nadwyżek energii do sieci w okresach, kiedy moc instalacji nie jest wykorzystywana) – jeśli dotyczy.</w:t>
            </w:r>
          </w:p>
          <w:p w14:paraId="612CCB5A" w14:textId="77777777" w:rsidR="005C2DF5" w:rsidRPr="00D66237" w:rsidRDefault="005C2DF5" w:rsidP="0054487C">
            <w:pPr>
              <w:pStyle w:val="Akapitzlist"/>
              <w:snapToGrid w:val="0"/>
              <w:ind w:left="0"/>
              <w:rPr>
                <w:rFonts w:asciiTheme="minorHAnsi" w:hAnsiTheme="minorHAnsi"/>
              </w:rPr>
            </w:pPr>
          </w:p>
          <w:p w14:paraId="0E8235E8"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Budynek mieszkalny jednorodzinny - 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p>
          <w:p w14:paraId="345AC293"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Budynek wielorodzinny – budynek mieszkalny wielorodzinny - budynek wolno stojący albo budynek w zabudowie szeregowej, służący zaspokajaniu potrzeb mieszkaniowych, stanowiący konstrukcyjnie samodzielną całość, w którym wydzielono więcej niż dwa lokale mieszkalne.</w:t>
            </w:r>
          </w:p>
          <w:p w14:paraId="18E74B36" w14:textId="77777777" w:rsidR="005C2DF5" w:rsidRPr="00D66237" w:rsidRDefault="005C2DF5" w:rsidP="0054487C">
            <w:pPr>
              <w:snapToGrid w:val="0"/>
              <w:jc w:val="both"/>
              <w:rPr>
                <w:rFonts w:asciiTheme="minorHAnsi" w:hAnsiTheme="minorHAnsi" w:cs="Arial"/>
              </w:rPr>
            </w:pPr>
            <w:bookmarkStart w:id="2" w:name="_Hlk526327509"/>
            <w:r w:rsidRPr="00D66237">
              <w:rPr>
                <w:rFonts w:asciiTheme="minorHAnsi" w:hAnsiTheme="minorHAnsi" w:cs="Arial"/>
              </w:rPr>
              <w:t xml:space="preserve">Budynek powinien pełnić wyłącznie funkcje mieszkalne, lokale użytkowe muszą być wyłączone z projektu lub z kwalifikowalności, np. odrębny lokal użytkowy, ogrzewany odrębnym źródłem ciepła. </w:t>
            </w:r>
          </w:p>
          <w:bookmarkEnd w:id="2"/>
          <w:p w14:paraId="7C3D06DE"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Mieszkanie – zespół pomieszczeń mieszkalnych i pomocniczych, mający odrębne wejście, wydzielony stałymi przegrodami budowlanymi, umożliwiający stały pobyt ludzi i prowadzenie samodzielnego gospodarstwa domowego.</w:t>
            </w:r>
          </w:p>
          <w:p w14:paraId="4C3D71F4"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Lokal użytkowy – jedno pomieszczenie lub zespół pomieszczeń, wydzielone stałymi przegrodami budowlanymi, niebędące mieszkaniem, pomieszczeniem technicznym albo pomieszczeniem gospodarczym.</w:t>
            </w:r>
          </w:p>
          <w:p w14:paraId="6C49687E"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Pozostałe definicje, np. pomieszczenia technicznego – zgodnie z definicjami ustawy z dnia 7 lipca 1994 r. Prawo budowlane oraz przepisów wykonawczych, w szczególności rozporządzenia Ministra Infrastruktury w sprawie warunków technicznych, jakim powinny odpowiadać budynki i ich usytuowanie.</w:t>
            </w:r>
          </w:p>
          <w:p w14:paraId="573A9538"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Wysokoemisyjne źródło ciepła – źródło ciepła nie spełniające norm emisyjnych ekoprojektu</w:t>
            </w:r>
            <w:r w:rsidRPr="00D66237">
              <w:rPr>
                <w:rStyle w:val="Zakotwiczenieprzypisudolnego"/>
                <w:rFonts w:asciiTheme="minorHAnsi" w:hAnsiTheme="minorHAnsi" w:cs="Arial"/>
              </w:rPr>
              <w:footnoteReference w:id="1"/>
            </w:r>
            <w:r w:rsidRPr="00D66237">
              <w:rPr>
                <w:rFonts w:asciiTheme="minorHAnsi" w:hAnsiTheme="minorHAnsi" w:cs="Arial"/>
              </w:rPr>
              <w:t xml:space="preserve"> obowiązujących od roku 2020 lub </w:t>
            </w:r>
            <w:r w:rsidRPr="00D66237">
              <w:rPr>
                <w:rFonts w:asciiTheme="minorHAnsi" w:hAnsiTheme="minorHAnsi"/>
              </w:rPr>
              <w:t>wymagań klasy 5</w:t>
            </w:r>
            <w:r w:rsidRPr="00D66237">
              <w:rPr>
                <w:rStyle w:val="Zakotwiczenieprzypisudolnego"/>
                <w:rFonts w:asciiTheme="minorHAnsi" w:hAnsiTheme="minorHAnsi"/>
              </w:rPr>
              <w:footnoteReference w:id="2"/>
            </w:r>
            <w:r w:rsidRPr="00D66237">
              <w:rPr>
                <w:rFonts w:asciiTheme="minorHAnsi" w:hAnsiTheme="minorHAnsi"/>
              </w:rPr>
              <w:t xml:space="preserve">, </w:t>
            </w:r>
            <w:r w:rsidRPr="00D66237">
              <w:rPr>
                <w:rFonts w:asciiTheme="minorHAnsi" w:hAnsiTheme="minorHAnsi" w:cs="Arial"/>
              </w:rPr>
              <w:t>emitujące do atmosfery CO</w:t>
            </w:r>
            <w:r w:rsidRPr="00D66237">
              <w:rPr>
                <w:rFonts w:asciiTheme="minorHAnsi" w:hAnsiTheme="minorHAnsi" w:cs="Arial"/>
                <w:vertAlign w:val="subscript"/>
              </w:rPr>
              <w:t>2</w:t>
            </w:r>
            <w:r w:rsidRPr="00D66237">
              <w:rPr>
                <w:rFonts w:asciiTheme="minorHAnsi" w:hAnsiTheme="minorHAnsi" w:cs="Arial"/>
              </w:rPr>
              <w:t xml:space="preserve"> oraz inne zanieczyszczenia, takie jak pyły zawieszone PM 10 i PM 2,5 i inne związki toksyczne powstające w wyniku spalania paliw. </w:t>
            </w:r>
          </w:p>
          <w:p w14:paraId="7D7B7176"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 xml:space="preserve">System zarządzania energią – urządzenia i systemy mające na celu </w:t>
            </w:r>
            <w:r w:rsidRPr="00D66237">
              <w:rPr>
                <w:rFonts w:asciiTheme="minorHAnsi" w:hAnsiTheme="minorHAnsi" w:cs="Arial"/>
              </w:rPr>
              <w:lastRenderedPageBreak/>
              <w:t>zmniejszenie zużycia energii poprzez dostosowanie mocy urządzeń do chwilowego zapotrzebowania (termostaty, czujniki temperatury, pogodowe, obecności, sterowniki, automatyczne układy regulacji, aplikacje komputerowe, urządzenia pomiarowe, liczniki ciepła, chłodu, CWU, zawory podpionowe itp.).</w:t>
            </w:r>
          </w:p>
          <w:p w14:paraId="03BCC032" w14:textId="77777777" w:rsidR="005C2DF5" w:rsidRPr="00D66237" w:rsidRDefault="005C2DF5" w:rsidP="0054487C">
            <w:pPr>
              <w:snapToGrid w:val="0"/>
              <w:jc w:val="both"/>
              <w:rPr>
                <w:rFonts w:asciiTheme="minorHAnsi" w:hAnsiTheme="minorHAnsi"/>
              </w:rPr>
            </w:pPr>
            <w:r w:rsidRPr="00D66237">
              <w:rPr>
                <w:rFonts w:asciiTheme="minorHAnsi" w:hAnsiTheme="minorHAnsi"/>
              </w:rPr>
              <w:t xml:space="preserve">Kryterium uznaje się za spełnione, jeżeli w projekcie zapewniono (opisano) mechanizmy wyboru grantobiorców z uwzględnieniem niniejszego kryterium (punkty 1 – 7). Jednocześnie w projekcie muszą być zapewnione (opisane) mechanizmy kontroli zarówno w fazie realizacji projektu jak i w okresie jego trwałości gwarantujące, że nie zostaną wprowadzone zmiany sprzeczne z niniejszym kryterium. </w:t>
            </w:r>
          </w:p>
        </w:tc>
        <w:tc>
          <w:tcPr>
            <w:tcW w:w="3406" w:type="dxa"/>
            <w:gridSpan w:val="2"/>
            <w:tcBorders>
              <w:top w:val="nil"/>
              <w:left w:val="single" w:sz="4" w:space="0" w:color="000001"/>
              <w:right w:val="single" w:sz="4" w:space="0" w:color="000001"/>
            </w:tcBorders>
            <w:shd w:val="clear" w:color="auto" w:fill="auto"/>
          </w:tcPr>
          <w:p w14:paraId="7B25E93F" w14:textId="77777777" w:rsidR="005C2DF5" w:rsidRPr="00D66237" w:rsidRDefault="005C2DF5" w:rsidP="0054487C">
            <w:pPr>
              <w:snapToGrid w:val="0"/>
              <w:jc w:val="center"/>
              <w:rPr>
                <w:rFonts w:asciiTheme="minorHAnsi" w:hAnsiTheme="minorHAnsi" w:cs="Arial"/>
                <w:b/>
              </w:rPr>
            </w:pPr>
            <w:r w:rsidRPr="00D66237">
              <w:rPr>
                <w:rFonts w:asciiTheme="minorHAnsi" w:hAnsiTheme="minorHAnsi" w:cs="Arial"/>
                <w:b/>
              </w:rPr>
              <w:lastRenderedPageBreak/>
              <w:t>Tak/Nie</w:t>
            </w:r>
          </w:p>
          <w:p w14:paraId="787200BB" w14:textId="77777777" w:rsidR="005C2DF5" w:rsidRPr="00D66237" w:rsidRDefault="005C2DF5" w:rsidP="0054487C">
            <w:pPr>
              <w:snapToGrid w:val="0"/>
              <w:jc w:val="center"/>
              <w:rPr>
                <w:rFonts w:asciiTheme="minorHAnsi" w:hAnsiTheme="minorHAnsi" w:cs="Arial"/>
              </w:rPr>
            </w:pPr>
          </w:p>
          <w:p w14:paraId="1E3FA60A" w14:textId="77777777" w:rsidR="00894868" w:rsidRPr="00D66237" w:rsidRDefault="00894868" w:rsidP="0054487C">
            <w:pPr>
              <w:snapToGrid w:val="0"/>
              <w:jc w:val="center"/>
              <w:rPr>
                <w:rFonts w:asciiTheme="minorHAnsi" w:hAnsiTheme="minorHAnsi" w:cs="Arial"/>
              </w:rPr>
            </w:pPr>
          </w:p>
          <w:p w14:paraId="0AD1902C" w14:textId="77777777" w:rsidR="00894868" w:rsidRPr="00D66237" w:rsidRDefault="00894868" w:rsidP="0054487C">
            <w:pPr>
              <w:snapToGrid w:val="0"/>
              <w:jc w:val="center"/>
              <w:rPr>
                <w:rFonts w:asciiTheme="minorHAnsi" w:hAnsiTheme="minorHAnsi" w:cs="Arial"/>
              </w:rPr>
            </w:pPr>
          </w:p>
          <w:p w14:paraId="2494A6DA" w14:textId="77777777" w:rsidR="00894868" w:rsidRPr="00D66237" w:rsidRDefault="00894868" w:rsidP="0054487C">
            <w:pPr>
              <w:snapToGrid w:val="0"/>
              <w:jc w:val="center"/>
              <w:rPr>
                <w:rFonts w:asciiTheme="minorHAnsi" w:hAnsiTheme="minorHAnsi" w:cs="Arial"/>
              </w:rPr>
            </w:pPr>
          </w:p>
          <w:p w14:paraId="75D1BBE1" w14:textId="77777777" w:rsidR="00894868" w:rsidRPr="00D66237" w:rsidRDefault="00894868" w:rsidP="0054487C">
            <w:pPr>
              <w:snapToGrid w:val="0"/>
              <w:jc w:val="center"/>
              <w:rPr>
                <w:rFonts w:asciiTheme="minorHAnsi" w:hAnsiTheme="minorHAnsi" w:cs="Arial"/>
              </w:rPr>
            </w:pPr>
          </w:p>
          <w:p w14:paraId="0A2199E8" w14:textId="77777777" w:rsidR="00894868" w:rsidRPr="00D66237" w:rsidRDefault="00894868" w:rsidP="0054487C">
            <w:pPr>
              <w:snapToGrid w:val="0"/>
              <w:jc w:val="center"/>
              <w:rPr>
                <w:rFonts w:asciiTheme="minorHAnsi" w:hAnsiTheme="minorHAnsi" w:cs="Arial"/>
              </w:rPr>
            </w:pPr>
          </w:p>
          <w:p w14:paraId="461A13CD" w14:textId="77777777" w:rsidR="00894868" w:rsidRPr="00D66237" w:rsidRDefault="00894868" w:rsidP="0054487C">
            <w:pPr>
              <w:snapToGrid w:val="0"/>
              <w:jc w:val="center"/>
              <w:rPr>
                <w:rFonts w:asciiTheme="minorHAnsi" w:hAnsiTheme="minorHAnsi" w:cs="Arial"/>
              </w:rPr>
            </w:pPr>
          </w:p>
          <w:p w14:paraId="003051A8" w14:textId="7006EBC8" w:rsidR="005C2DF5" w:rsidRPr="00D66237" w:rsidRDefault="005C2DF5" w:rsidP="0054487C">
            <w:pPr>
              <w:snapToGrid w:val="0"/>
              <w:jc w:val="center"/>
              <w:rPr>
                <w:rFonts w:asciiTheme="minorHAnsi" w:hAnsiTheme="minorHAnsi" w:cs="Arial"/>
              </w:rPr>
            </w:pPr>
          </w:p>
        </w:tc>
      </w:tr>
      <w:tr w:rsidR="005C2DF5" w:rsidRPr="00D66237" w14:paraId="05ED1724" w14:textId="77777777" w:rsidTr="00E2755C">
        <w:trPr>
          <w:trHeight w:val="558"/>
        </w:trPr>
        <w:tc>
          <w:tcPr>
            <w:tcW w:w="916" w:type="dxa"/>
            <w:shd w:val="clear" w:color="auto" w:fill="auto"/>
          </w:tcPr>
          <w:p w14:paraId="59383661" w14:textId="2BCE5C27" w:rsidR="005C2DF5" w:rsidRPr="00D66237" w:rsidRDefault="008226C7" w:rsidP="00E2755C">
            <w:pPr>
              <w:snapToGrid w:val="0"/>
              <w:contextualSpacing/>
              <w:jc w:val="center"/>
              <w:rPr>
                <w:rFonts w:asciiTheme="minorHAnsi" w:hAnsiTheme="minorHAnsi" w:cs="Arial"/>
                <w:b/>
              </w:rPr>
            </w:pPr>
            <w:r w:rsidRPr="00D66237">
              <w:rPr>
                <w:rFonts w:asciiTheme="minorHAnsi" w:hAnsiTheme="minorHAnsi" w:cs="Arial"/>
                <w:b/>
              </w:rPr>
              <w:lastRenderedPageBreak/>
              <w:t>6.</w:t>
            </w:r>
          </w:p>
        </w:tc>
        <w:tc>
          <w:tcPr>
            <w:tcW w:w="3517" w:type="dxa"/>
            <w:shd w:val="clear" w:color="auto" w:fill="auto"/>
          </w:tcPr>
          <w:p w14:paraId="5C8B1335" w14:textId="77777777" w:rsidR="005C2DF5" w:rsidRPr="00D66237" w:rsidRDefault="005C2DF5" w:rsidP="0054487C">
            <w:pPr>
              <w:snapToGrid w:val="0"/>
              <w:rPr>
                <w:rFonts w:asciiTheme="minorHAnsi" w:hAnsiTheme="minorHAnsi" w:cs="Arial"/>
                <w:b/>
              </w:rPr>
            </w:pPr>
            <w:r w:rsidRPr="00D66237">
              <w:rPr>
                <w:rFonts w:asciiTheme="minorHAnsi" w:hAnsiTheme="minorHAnsi" w:cs="Arial"/>
                <w:b/>
              </w:rPr>
              <w:t>Zgodność z uproszczonym audytem</w:t>
            </w:r>
          </w:p>
        </w:tc>
        <w:tc>
          <w:tcPr>
            <w:tcW w:w="6197" w:type="dxa"/>
            <w:gridSpan w:val="2"/>
            <w:shd w:val="clear" w:color="auto" w:fill="auto"/>
          </w:tcPr>
          <w:p w14:paraId="5E6CCEA4"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W ramach kryterium należy zweryfikować czy wnioskodawca zapewnił zgodność zapisów we wniosku o dofinansowanie z danymi z uproszczonych audytów energetycznych w zakresie:</w:t>
            </w:r>
          </w:p>
          <w:p w14:paraId="0F40431F" w14:textId="77777777" w:rsidR="005C2DF5" w:rsidRPr="00D66237" w:rsidRDefault="005C2DF5" w:rsidP="005C2DF5">
            <w:pPr>
              <w:pStyle w:val="Akapitzlist"/>
              <w:numPr>
                <w:ilvl w:val="0"/>
                <w:numId w:val="54"/>
              </w:numPr>
              <w:snapToGrid w:val="0"/>
              <w:jc w:val="both"/>
              <w:rPr>
                <w:rFonts w:asciiTheme="minorHAnsi" w:hAnsiTheme="minorHAnsi" w:cs="Arial"/>
              </w:rPr>
            </w:pPr>
            <w:r w:rsidRPr="00D66237">
              <w:rPr>
                <w:rFonts w:asciiTheme="minorHAnsi" w:hAnsiTheme="minorHAnsi" w:cs="Arial"/>
              </w:rPr>
              <w:t>wartości emisji CO</w:t>
            </w:r>
            <w:r w:rsidRPr="00D66237">
              <w:rPr>
                <w:rFonts w:asciiTheme="minorHAnsi" w:hAnsiTheme="minorHAnsi" w:cs="Arial"/>
                <w:vertAlign w:val="subscript"/>
              </w:rPr>
              <w:t>2</w:t>
            </w:r>
            <w:r w:rsidRPr="00D66237">
              <w:rPr>
                <w:rFonts w:asciiTheme="minorHAnsi" w:hAnsiTheme="minorHAnsi" w:cs="Arial"/>
              </w:rPr>
              <w:t xml:space="preserve"> (przed i po realizacji inwestycji, na którą przyznany ma być grant);</w:t>
            </w:r>
          </w:p>
          <w:p w14:paraId="2F5BB210" w14:textId="77777777" w:rsidR="005C2DF5" w:rsidRPr="00D66237" w:rsidRDefault="005C2DF5" w:rsidP="005C2DF5">
            <w:pPr>
              <w:pStyle w:val="Akapitzlist"/>
              <w:numPr>
                <w:ilvl w:val="0"/>
                <w:numId w:val="54"/>
              </w:numPr>
              <w:snapToGrid w:val="0"/>
              <w:jc w:val="both"/>
              <w:rPr>
                <w:rFonts w:asciiTheme="minorHAnsi" w:hAnsiTheme="minorHAnsi" w:cs="Arial"/>
              </w:rPr>
            </w:pPr>
            <w:r w:rsidRPr="00D66237">
              <w:rPr>
                <w:rFonts w:asciiTheme="minorHAnsi" w:hAnsiTheme="minorHAnsi" w:cs="Arial"/>
              </w:rPr>
              <w:t>wartości emisji pyłów PM 10 (przed i po realizacji inwestycji, na którą przyznany ma być grant ;</w:t>
            </w:r>
          </w:p>
          <w:p w14:paraId="6BCAD352" w14:textId="77777777" w:rsidR="005C2DF5" w:rsidRPr="00D66237" w:rsidRDefault="005C2DF5" w:rsidP="005C2DF5">
            <w:pPr>
              <w:pStyle w:val="Akapitzlist"/>
              <w:numPr>
                <w:ilvl w:val="0"/>
                <w:numId w:val="54"/>
              </w:numPr>
              <w:snapToGrid w:val="0"/>
              <w:jc w:val="both"/>
              <w:rPr>
                <w:rFonts w:asciiTheme="minorHAnsi" w:hAnsiTheme="minorHAnsi" w:cs="Arial"/>
              </w:rPr>
            </w:pPr>
            <w:r w:rsidRPr="00D66237">
              <w:rPr>
                <w:rFonts w:asciiTheme="minorHAnsi" w:hAnsiTheme="minorHAnsi" w:cs="Arial"/>
              </w:rPr>
              <w:t>wartości emisji pyłów PM 2,5 (przed i po realizacji inwestycji, na którą przyznany ma być grant ).</w:t>
            </w:r>
          </w:p>
          <w:p w14:paraId="5F19E3E1" w14:textId="77777777" w:rsidR="005C2DF5" w:rsidRPr="00D66237" w:rsidRDefault="005C2DF5" w:rsidP="0054487C">
            <w:pPr>
              <w:pStyle w:val="Akapitzlist"/>
              <w:snapToGrid w:val="0"/>
              <w:jc w:val="both"/>
              <w:rPr>
                <w:rFonts w:asciiTheme="minorHAnsi" w:hAnsiTheme="minorHAnsi" w:cs="Arial"/>
              </w:rPr>
            </w:pPr>
          </w:p>
          <w:p w14:paraId="7F480893" w14:textId="77777777" w:rsidR="005C2DF5" w:rsidRPr="00D66237" w:rsidRDefault="005C2DF5" w:rsidP="0054487C">
            <w:pPr>
              <w:pStyle w:val="Tekstpodstawowy"/>
              <w:spacing w:line="240" w:lineRule="auto"/>
              <w:jc w:val="both"/>
              <w:rPr>
                <w:rFonts w:asciiTheme="minorHAnsi" w:hAnsiTheme="minorHAnsi"/>
              </w:rPr>
            </w:pPr>
            <w:r w:rsidRPr="00D66237">
              <w:rPr>
                <w:rFonts w:asciiTheme="minorHAnsi" w:hAnsiTheme="minorHAnsi" w:cs="Arial"/>
              </w:rPr>
              <w:t xml:space="preserve">Powyższe dane powinny wynikać z uproszczonego audytu energetycznego sporządzonego zgodnie z metodologią wskazaną przez Instytucję Organizującą Konkurs. Dopuszcza się korzystanie ze świadectw charakterystyki energetycznej lub audytów energetycznych już posiadanych przez Wnioskodawcę i </w:t>
            </w:r>
            <w:r w:rsidRPr="00D66237">
              <w:rPr>
                <w:rFonts w:asciiTheme="minorHAnsi" w:hAnsiTheme="minorHAnsi"/>
              </w:rPr>
              <w:t xml:space="preserve">sporządzonych (zaktualizowanych) nie wcześniej niż na dwa lata przed rokiem ogłoszenia konkursu o dofinansowanie projektu. </w:t>
            </w:r>
          </w:p>
          <w:p w14:paraId="097DE771" w14:textId="77777777" w:rsidR="005C2DF5" w:rsidRPr="00D66237" w:rsidRDefault="005C2DF5" w:rsidP="0054487C">
            <w:pPr>
              <w:snapToGrid w:val="0"/>
              <w:jc w:val="both"/>
              <w:rPr>
                <w:rFonts w:asciiTheme="minorHAnsi" w:hAnsiTheme="minorHAnsi" w:cs="Arial"/>
              </w:rPr>
            </w:pPr>
            <w:r w:rsidRPr="00D66237">
              <w:rPr>
                <w:rFonts w:asciiTheme="minorHAnsi" w:hAnsiTheme="minorHAnsi"/>
              </w:rPr>
              <w:t>Jednak wartość redukcji emisji CO</w:t>
            </w:r>
            <w:r w:rsidRPr="00D66237">
              <w:rPr>
                <w:rFonts w:asciiTheme="minorHAnsi" w:hAnsiTheme="minorHAnsi"/>
                <w:vertAlign w:val="subscript"/>
              </w:rPr>
              <w:t>2</w:t>
            </w:r>
            <w:r w:rsidRPr="00D66237">
              <w:rPr>
                <w:rFonts w:asciiTheme="minorHAnsi" w:hAnsiTheme="minorHAnsi"/>
              </w:rPr>
              <w:t xml:space="preserve"> i pyłów zawieszonych PM 10 i PM 2,5 należy wyszacować zgodnie z metodologią wskazaną przez </w:t>
            </w:r>
            <w:r w:rsidRPr="00D66237">
              <w:rPr>
                <w:rFonts w:asciiTheme="minorHAnsi" w:hAnsiTheme="minorHAnsi" w:cs="Arial"/>
              </w:rPr>
              <w:t xml:space="preserve">Instytucję Organizującą Konkurs, tak aby dane do wskaźników rezultatu pozyskiwane były zgodnie z tą samą metodologią. </w:t>
            </w:r>
            <w:r w:rsidRPr="00D66237">
              <w:rPr>
                <w:rFonts w:asciiTheme="minorHAnsi" w:hAnsiTheme="minorHAnsi"/>
              </w:rPr>
              <w:t xml:space="preserve">Kryterium uznaje się za spełnione, jeżeli w projekcie zapewniono (opisano) mechanizmy wyboru grantobiorców z uwzględnieniem niniejszego kryterium. Jednocześnie w projekcie muszą być zapewnione (opisane) mechanizmy kontroli zarówno w fazie realizacji projektu jak i w okresie jego trwałości gwarantujące, że </w:t>
            </w:r>
            <w:r w:rsidRPr="00D66237">
              <w:rPr>
                <w:rFonts w:asciiTheme="minorHAnsi" w:hAnsiTheme="minorHAnsi"/>
              </w:rPr>
              <w:lastRenderedPageBreak/>
              <w:t>nie zostaną wprowadzone zmiany sprzeczne z niniejszym kryterium.</w:t>
            </w:r>
          </w:p>
        </w:tc>
        <w:tc>
          <w:tcPr>
            <w:tcW w:w="3406" w:type="dxa"/>
            <w:gridSpan w:val="2"/>
            <w:shd w:val="clear" w:color="auto" w:fill="auto"/>
          </w:tcPr>
          <w:p w14:paraId="70DDBEC9" w14:textId="3C03D8A9" w:rsidR="005C2DF5" w:rsidRPr="00D66237" w:rsidRDefault="005C2DF5" w:rsidP="008226C7">
            <w:pPr>
              <w:snapToGrid w:val="0"/>
              <w:jc w:val="center"/>
              <w:rPr>
                <w:rFonts w:asciiTheme="minorHAnsi" w:hAnsiTheme="minorHAnsi" w:cs="Arial"/>
                <w:b/>
              </w:rPr>
            </w:pPr>
            <w:r w:rsidRPr="00D66237">
              <w:rPr>
                <w:rFonts w:asciiTheme="minorHAnsi" w:hAnsiTheme="minorHAnsi" w:cs="Arial"/>
                <w:b/>
              </w:rPr>
              <w:lastRenderedPageBreak/>
              <w:t>Tak/Nie</w:t>
            </w:r>
          </w:p>
        </w:tc>
      </w:tr>
      <w:tr w:rsidR="005C2DF5" w:rsidRPr="00D66237" w14:paraId="4ADD2C05" w14:textId="77777777" w:rsidTr="00E2755C">
        <w:trPr>
          <w:trHeight w:val="558"/>
        </w:trPr>
        <w:tc>
          <w:tcPr>
            <w:tcW w:w="916" w:type="dxa"/>
            <w:shd w:val="clear" w:color="auto" w:fill="auto"/>
          </w:tcPr>
          <w:p w14:paraId="739D65C4" w14:textId="26B2091B" w:rsidR="005C2DF5" w:rsidRPr="00D66237" w:rsidRDefault="008226C7" w:rsidP="00E2755C">
            <w:pPr>
              <w:snapToGrid w:val="0"/>
              <w:ind w:left="426"/>
              <w:contextualSpacing/>
              <w:rPr>
                <w:rFonts w:asciiTheme="minorHAnsi" w:hAnsiTheme="minorHAnsi" w:cs="Arial"/>
                <w:b/>
              </w:rPr>
            </w:pPr>
            <w:r w:rsidRPr="00D66237">
              <w:rPr>
                <w:rFonts w:asciiTheme="minorHAnsi" w:hAnsiTheme="minorHAnsi" w:cs="Arial"/>
                <w:b/>
              </w:rPr>
              <w:t>7.</w:t>
            </w:r>
          </w:p>
        </w:tc>
        <w:tc>
          <w:tcPr>
            <w:tcW w:w="3517" w:type="dxa"/>
            <w:shd w:val="clear" w:color="auto" w:fill="auto"/>
          </w:tcPr>
          <w:p w14:paraId="7855F80D" w14:textId="77777777" w:rsidR="005C2DF5" w:rsidRPr="00D66237" w:rsidRDefault="005C2DF5" w:rsidP="0054487C">
            <w:pPr>
              <w:snapToGrid w:val="0"/>
              <w:rPr>
                <w:rFonts w:asciiTheme="minorHAnsi" w:hAnsiTheme="minorHAnsi" w:cs="Arial"/>
                <w:b/>
              </w:rPr>
            </w:pPr>
            <w:r w:rsidRPr="00D66237">
              <w:rPr>
                <w:rFonts w:asciiTheme="minorHAnsi" w:hAnsiTheme="minorHAnsi" w:cs="Arial"/>
                <w:b/>
              </w:rPr>
              <w:t>Wymiana źródła ciepła</w:t>
            </w:r>
          </w:p>
          <w:p w14:paraId="151A01A3" w14:textId="77777777" w:rsidR="005C2DF5" w:rsidRPr="00D66237" w:rsidRDefault="005C2DF5" w:rsidP="0054487C">
            <w:pPr>
              <w:snapToGrid w:val="0"/>
              <w:rPr>
                <w:rFonts w:asciiTheme="minorHAnsi" w:hAnsiTheme="minorHAnsi" w:cs="Arial"/>
                <w:b/>
              </w:rPr>
            </w:pPr>
          </w:p>
          <w:p w14:paraId="21BD87E2" w14:textId="77777777" w:rsidR="005C2DF5" w:rsidRPr="00D66237" w:rsidRDefault="005C2DF5" w:rsidP="0054487C">
            <w:pPr>
              <w:snapToGrid w:val="0"/>
              <w:jc w:val="both"/>
              <w:rPr>
                <w:rFonts w:asciiTheme="minorHAnsi" w:hAnsiTheme="minorHAnsi" w:cs="Arial"/>
                <w:b/>
              </w:rPr>
            </w:pPr>
          </w:p>
        </w:tc>
        <w:tc>
          <w:tcPr>
            <w:tcW w:w="6197" w:type="dxa"/>
            <w:gridSpan w:val="2"/>
            <w:shd w:val="clear" w:color="auto" w:fill="auto"/>
          </w:tcPr>
          <w:p w14:paraId="7F12AF61" w14:textId="77777777" w:rsidR="005C2DF5" w:rsidRPr="00D66237" w:rsidRDefault="005C2DF5" w:rsidP="0054487C">
            <w:pPr>
              <w:snapToGrid w:val="0"/>
              <w:contextualSpacing/>
              <w:jc w:val="both"/>
              <w:rPr>
                <w:rFonts w:asciiTheme="minorHAnsi" w:hAnsiTheme="minorHAnsi" w:cs="Arial"/>
              </w:rPr>
            </w:pPr>
            <w:r w:rsidRPr="00D66237">
              <w:rPr>
                <w:rFonts w:asciiTheme="minorHAnsi" w:hAnsiTheme="minorHAnsi" w:cs="Arial"/>
              </w:rPr>
              <w:t>W ramach kryterium należy zweryfikować czy wymiana wysokoemisyjnego źródła ciepła spełnia następujące warunki:</w:t>
            </w:r>
          </w:p>
          <w:p w14:paraId="0ADF2AFB" w14:textId="77777777" w:rsidR="005C2DF5" w:rsidRPr="00D66237" w:rsidRDefault="005C2DF5" w:rsidP="005C2DF5">
            <w:pPr>
              <w:pStyle w:val="Akapitzlist"/>
              <w:numPr>
                <w:ilvl w:val="0"/>
                <w:numId w:val="48"/>
              </w:numPr>
              <w:snapToGrid w:val="0"/>
              <w:ind w:left="360"/>
              <w:jc w:val="both"/>
              <w:rPr>
                <w:rFonts w:asciiTheme="minorHAnsi" w:hAnsiTheme="minorHAnsi"/>
              </w:rPr>
            </w:pPr>
            <w:r w:rsidRPr="00D66237">
              <w:rPr>
                <w:rFonts w:asciiTheme="minorHAnsi" w:hAnsiTheme="minorHAnsi"/>
              </w:rPr>
              <w:t>polega na zastąpieniu kotła / 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w:t>
            </w:r>
            <w:r w:rsidRPr="00D66237">
              <w:rPr>
                <w:rStyle w:val="Zakotwiczenieprzypisudolnego"/>
                <w:rFonts w:asciiTheme="minorHAnsi" w:hAnsiTheme="minorHAnsi"/>
              </w:rPr>
              <w:footnoteReference w:id="3"/>
            </w:r>
            <w:r w:rsidRPr="00D66237">
              <w:rPr>
                <w:rFonts w:asciiTheme="minorHAnsi" w:hAnsiTheme="minorHAnsi"/>
              </w:rPr>
              <w:t xml:space="preserve"> - wówczas należy przejść do pkt 2, 3 lub 4;</w:t>
            </w:r>
          </w:p>
          <w:p w14:paraId="2E8093B6" w14:textId="77777777" w:rsidR="005C2DF5" w:rsidRPr="00D66237" w:rsidRDefault="005C2DF5" w:rsidP="005C2DF5">
            <w:pPr>
              <w:pStyle w:val="Akapitzlist"/>
              <w:numPr>
                <w:ilvl w:val="0"/>
                <w:numId w:val="48"/>
              </w:numPr>
              <w:snapToGrid w:val="0"/>
              <w:ind w:left="360"/>
              <w:jc w:val="both"/>
              <w:rPr>
                <w:rFonts w:asciiTheme="minorHAnsi" w:hAnsiTheme="minorHAnsi"/>
              </w:rPr>
            </w:pPr>
            <w:r w:rsidRPr="00D66237">
              <w:rPr>
                <w:rFonts w:asciiTheme="minorHAnsi" w:hAnsiTheme="minorHAnsi"/>
              </w:rPr>
              <w:t>wysokoemisyjne źródło ciepła może być zastąpione instalacją źródła ciepła wykorzystującego OZE (Odnawialne Źródła Energii);</w:t>
            </w:r>
          </w:p>
          <w:p w14:paraId="15AF6D42" w14:textId="77777777" w:rsidR="005C2DF5" w:rsidRPr="00D66237" w:rsidRDefault="005C2DF5" w:rsidP="005C2DF5">
            <w:pPr>
              <w:pStyle w:val="Akapitzlist"/>
              <w:numPr>
                <w:ilvl w:val="0"/>
                <w:numId w:val="48"/>
              </w:numPr>
              <w:snapToGrid w:val="0"/>
              <w:ind w:left="360"/>
              <w:jc w:val="both"/>
              <w:rPr>
                <w:rFonts w:asciiTheme="minorHAnsi" w:hAnsiTheme="minorHAnsi"/>
              </w:rPr>
            </w:pPr>
            <w:r w:rsidRPr="00D66237">
              <w:rPr>
                <w:rFonts w:asciiTheme="minorHAnsi" w:hAnsiTheme="minorHAnsi"/>
              </w:rPr>
              <w:t xml:space="preserve">polega na wymianie kotła / pieca na inny kocioł / miejscowy ogrzewacz </w:t>
            </w:r>
            <w:r w:rsidRPr="00D66237">
              <w:rPr>
                <w:rFonts w:cs="Arial"/>
              </w:rPr>
              <w:t>pomieszczeń</w:t>
            </w:r>
            <w:r w:rsidRPr="00D66237">
              <w:rPr>
                <w:rFonts w:asciiTheme="minorHAnsi" w:hAnsiTheme="minorHAnsi"/>
              </w:rPr>
              <w:t xml:space="preserve"> jeśli spełnione są łącznie poniższe warunki: </w:t>
            </w:r>
          </w:p>
          <w:p w14:paraId="05FF430A" w14:textId="77777777" w:rsidR="005C2DF5" w:rsidRPr="00D66237" w:rsidRDefault="005C2DF5" w:rsidP="005C2DF5">
            <w:pPr>
              <w:pStyle w:val="Akapitzlist"/>
              <w:numPr>
                <w:ilvl w:val="0"/>
                <w:numId w:val="47"/>
              </w:numPr>
              <w:snapToGrid w:val="0"/>
              <w:ind w:left="720"/>
              <w:jc w:val="both"/>
              <w:rPr>
                <w:rFonts w:asciiTheme="minorHAnsi" w:hAnsiTheme="minorHAnsi"/>
              </w:rPr>
            </w:pPr>
            <w:r w:rsidRPr="00D66237">
              <w:rPr>
                <w:rFonts w:asciiTheme="minorHAnsi" w:hAnsiTheme="minorHAnsi"/>
              </w:rPr>
              <w:t xml:space="preserve">kocioł / piec wymieniany może być zastąpiony wyłącznie przez kocioł / miejscowy ogrzewacz </w:t>
            </w:r>
            <w:r w:rsidRPr="00D66237">
              <w:rPr>
                <w:rFonts w:cs="Arial"/>
              </w:rPr>
              <w:t>pomieszczeń</w:t>
            </w:r>
            <w:r w:rsidRPr="00D66237">
              <w:rPr>
                <w:rFonts w:asciiTheme="minorHAnsi" w:hAnsiTheme="minorHAnsi"/>
              </w:rPr>
              <w:t>spalający biomasę lub paliwa gazowe (nie dopuszcza się wymiany dotychczas użytkowanych kotłów / pieców na kotły węglowe lub olejowe; wymianie nie podlegają również dotychczas użytkowane kotły gazowe i olejowe);</w:t>
            </w:r>
          </w:p>
          <w:p w14:paraId="2CBB83BE" w14:textId="77777777" w:rsidR="005C2DF5" w:rsidRPr="00D66237" w:rsidRDefault="005C2DF5" w:rsidP="005C2DF5">
            <w:pPr>
              <w:pStyle w:val="Akapitzlist"/>
              <w:numPr>
                <w:ilvl w:val="0"/>
                <w:numId w:val="47"/>
              </w:numPr>
              <w:snapToGrid w:val="0"/>
              <w:ind w:left="720"/>
              <w:jc w:val="both"/>
              <w:rPr>
                <w:rFonts w:asciiTheme="minorHAnsi" w:hAnsiTheme="minorHAnsi"/>
              </w:rPr>
            </w:pPr>
            <w:r w:rsidRPr="00D66237">
              <w:rPr>
                <w:rFonts w:asciiTheme="minorHAnsi" w:hAnsiTheme="minorHAnsi"/>
              </w:rPr>
              <w:t>wymiana kotła / pieca musi skutkować obniżeniem emisji CO</w:t>
            </w:r>
            <w:r w:rsidRPr="00D66237">
              <w:rPr>
                <w:rFonts w:asciiTheme="minorHAnsi" w:hAnsiTheme="minorHAnsi"/>
                <w:vertAlign w:val="subscript"/>
              </w:rPr>
              <w:t>2</w:t>
            </w:r>
            <w:r w:rsidRPr="00D66237">
              <w:rPr>
                <w:rFonts w:asciiTheme="minorHAnsi" w:hAnsiTheme="minorHAnsi"/>
              </w:rPr>
              <w:t xml:space="preserve"> w stosunku do stanu sprzed inwestycji; w przypadku zmiany kotła skutkującego zamianą spalanego paliwa zmniejszenie emisji CO</w:t>
            </w:r>
            <w:r w:rsidRPr="00D66237">
              <w:rPr>
                <w:rFonts w:asciiTheme="minorHAnsi" w:hAnsiTheme="minorHAnsi"/>
                <w:vertAlign w:val="subscript"/>
              </w:rPr>
              <w:t>2</w:t>
            </w:r>
            <w:r w:rsidRPr="00D66237">
              <w:rPr>
                <w:rFonts w:asciiTheme="minorHAnsi" w:hAnsiTheme="minorHAnsi"/>
              </w:rPr>
              <w:t xml:space="preserve"> musi wynieść co najmniej 30%;</w:t>
            </w:r>
          </w:p>
          <w:p w14:paraId="30B9D0D6" w14:textId="77777777" w:rsidR="005C2DF5" w:rsidRPr="00D66237" w:rsidRDefault="005C2DF5" w:rsidP="005C2DF5">
            <w:pPr>
              <w:pStyle w:val="Akapitzlist"/>
              <w:numPr>
                <w:ilvl w:val="0"/>
                <w:numId w:val="47"/>
              </w:numPr>
              <w:snapToGrid w:val="0"/>
              <w:ind w:left="720"/>
              <w:jc w:val="both"/>
              <w:rPr>
                <w:rFonts w:asciiTheme="minorHAnsi" w:hAnsiTheme="minorHAnsi"/>
              </w:rPr>
            </w:pPr>
            <w:r w:rsidRPr="00D66237">
              <w:rPr>
                <w:rFonts w:asciiTheme="minorHAnsi" w:hAnsiTheme="minorHAnsi"/>
              </w:rPr>
              <w:t>wymiana źródła ciepła skutkuje zmniejszeniem emisji PM 10 i PM 2,5;</w:t>
            </w:r>
          </w:p>
          <w:p w14:paraId="638D8026" w14:textId="77777777" w:rsidR="005C2DF5" w:rsidRPr="00D66237" w:rsidRDefault="005C2DF5" w:rsidP="005C2DF5">
            <w:pPr>
              <w:pStyle w:val="Akapitzlist"/>
              <w:numPr>
                <w:ilvl w:val="0"/>
                <w:numId w:val="47"/>
              </w:numPr>
              <w:snapToGrid w:val="0"/>
              <w:ind w:left="737" w:hanging="340"/>
              <w:jc w:val="both"/>
              <w:rPr>
                <w:rFonts w:asciiTheme="minorHAnsi" w:hAnsiTheme="minorHAnsi"/>
              </w:rPr>
            </w:pPr>
            <w:r w:rsidRPr="00D66237">
              <w:rPr>
                <w:rFonts w:asciiTheme="minorHAnsi" w:hAnsiTheme="minorHAnsi"/>
              </w:rPr>
              <w:t xml:space="preserve">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Wszystkie </w:t>
            </w:r>
            <w:r w:rsidRPr="00D66237">
              <w:rPr>
                <w:rFonts w:asciiTheme="minorHAnsi" w:hAnsiTheme="minorHAnsi"/>
              </w:rPr>
              <w:lastRenderedPageBreak/>
              <w:t>kotły wymienione w ramach projektu będą wyposażone w automatyczny podajnik paliwa (nie dotyczy kotłów zgazowujących) i nie będą posiadały rusztu awaryjnego ani elementów umożliwiających jego zamontowanie. Kryterium jest spełnione, jeśli kocioł spełnia ww. warunki. Na etapie składania wniosku wymagane jest złożenie oświadczenia o zapewnieniu spełnienia powyższego wymogu w czasie realizacji projektu.</w:t>
            </w:r>
          </w:p>
          <w:p w14:paraId="467A2CE9"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4) dotychczasowe wysokoemisyjne źródło ciepła może być zastąpione źródłem (-ami)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Kryterium jest spełnione, jeśli ogrzewanie elektryczne spełnia ww. warunki.</w:t>
            </w:r>
          </w:p>
          <w:p w14:paraId="5819D131" w14:textId="77777777" w:rsidR="005C2DF5" w:rsidRPr="00D66237" w:rsidRDefault="005C2DF5" w:rsidP="0054487C">
            <w:pPr>
              <w:pStyle w:val="Akapitzlist"/>
              <w:snapToGrid w:val="0"/>
              <w:jc w:val="both"/>
              <w:rPr>
                <w:rFonts w:asciiTheme="minorHAnsi" w:hAnsiTheme="minorHAnsi"/>
              </w:rPr>
            </w:pPr>
          </w:p>
          <w:p w14:paraId="717B29E0"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 xml:space="preserve">Środki wykonawcze do dyrektywy 2009/125/WE z dnia 21 października 2009 r. ustanawiającej ogólne zasady ustalania wymogów dotyczących ekoprojektu dla produktów związanych z energią to w szczególności: </w:t>
            </w:r>
          </w:p>
          <w:p w14:paraId="1D0277DB" w14:textId="77777777" w:rsidR="005C2DF5" w:rsidRPr="00D66237" w:rsidRDefault="005C2DF5" w:rsidP="005C2DF5">
            <w:pPr>
              <w:pStyle w:val="Akapitzlist"/>
              <w:numPr>
                <w:ilvl w:val="2"/>
                <w:numId w:val="48"/>
              </w:numPr>
              <w:snapToGrid w:val="0"/>
              <w:ind w:left="500" w:hanging="375"/>
              <w:jc w:val="both"/>
              <w:rPr>
                <w:rFonts w:asciiTheme="minorHAnsi" w:hAnsiTheme="minorHAnsi" w:cs="Arial"/>
              </w:rPr>
            </w:pPr>
            <w:r w:rsidRPr="00D66237">
              <w:rPr>
                <w:rFonts w:asciiTheme="minorHAnsi" w:hAnsiTheme="minorHAnsi" w:cs="Arial"/>
              </w:rPr>
              <w:t>rozporządzenie Komisji (UE) 2015/1185 z dnia 24 kwietnia 2015 r. w sprawie wykonania dyrektywy Parlamentu Europejskiego i Rady 2009/125/WE w odniesieniu do wymogów dotyczących ekoprojektu dla miejscowych ogrzewaczy pomieszczeń na paliwo stałe;</w:t>
            </w:r>
          </w:p>
          <w:p w14:paraId="02BCBB3E" w14:textId="77777777" w:rsidR="005C2DF5" w:rsidRPr="00D66237" w:rsidRDefault="005C2DF5" w:rsidP="005C2DF5">
            <w:pPr>
              <w:pStyle w:val="Akapitzlist"/>
              <w:numPr>
                <w:ilvl w:val="2"/>
                <w:numId w:val="48"/>
              </w:numPr>
              <w:snapToGrid w:val="0"/>
              <w:ind w:left="500" w:hanging="375"/>
              <w:jc w:val="both"/>
              <w:rPr>
                <w:rFonts w:asciiTheme="minorHAnsi" w:hAnsiTheme="minorHAnsi" w:cs="Arial"/>
              </w:rPr>
            </w:pPr>
            <w:r w:rsidRPr="00D66237">
              <w:rPr>
                <w:rFonts w:asciiTheme="minorHAnsi" w:hAnsiTheme="minorHAnsi" w:cs="Arial"/>
              </w:rPr>
              <w:t>rozporządzenie Komisji (UE) 2015/1188 z dnia 28 kwietnia 2015 r. w sprawie wykonania dyrektywy Parlamentu Europejskiego i Rady 2009/125/WE w odniesieniu do wymogów dotyczących ekoprojektu dla miejscowych ogrzewaczy pomieszczeń;</w:t>
            </w:r>
          </w:p>
          <w:p w14:paraId="1D67F338" w14:textId="77777777" w:rsidR="005C2DF5" w:rsidRPr="00D66237" w:rsidRDefault="005C2DF5" w:rsidP="005C2DF5">
            <w:pPr>
              <w:pStyle w:val="Akapitzlist"/>
              <w:numPr>
                <w:ilvl w:val="2"/>
                <w:numId w:val="48"/>
              </w:numPr>
              <w:snapToGrid w:val="0"/>
              <w:ind w:left="500" w:hanging="375"/>
              <w:jc w:val="both"/>
              <w:rPr>
                <w:rFonts w:asciiTheme="minorHAnsi" w:hAnsiTheme="minorHAnsi" w:cs="Arial"/>
              </w:rPr>
            </w:pPr>
            <w:r w:rsidRPr="00D66237">
              <w:rPr>
                <w:rFonts w:asciiTheme="minorHAnsi" w:hAnsiTheme="minorHAnsi" w:cs="Arial"/>
              </w:rPr>
              <w:t>rozporządzenie Komisji (UE) 2015/1189 z dnia 28 kwietnia 2015 r. w sprawie wykonania dyrektywy Parlamentu Europejskiego i Rady 2009/125/WE w odniesieniu do wymogów dotyczących ekoprojektu dla kotłów na paliwo stałe.</w:t>
            </w:r>
          </w:p>
          <w:p w14:paraId="37EA7FF1" w14:textId="77777777" w:rsidR="005C2DF5" w:rsidRPr="00D66237" w:rsidRDefault="005C2DF5" w:rsidP="0054487C">
            <w:pPr>
              <w:snapToGrid w:val="0"/>
              <w:jc w:val="both"/>
              <w:rPr>
                <w:rFonts w:asciiTheme="minorHAnsi" w:hAnsiTheme="minorHAnsi" w:cs="Arial"/>
              </w:rPr>
            </w:pPr>
          </w:p>
          <w:p w14:paraId="3A3B0DCD"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Powyższy katalog nie jest kompletnym wykazem, każdorazowo należy upewnić się o stosowaniu właściwych i aktualnych przepisów.</w:t>
            </w:r>
          </w:p>
          <w:p w14:paraId="068D55BB" w14:textId="77777777" w:rsidR="005C2DF5" w:rsidRPr="00D66237" w:rsidRDefault="005C2DF5" w:rsidP="0054487C">
            <w:pPr>
              <w:snapToGrid w:val="0"/>
              <w:jc w:val="both"/>
              <w:rPr>
                <w:rFonts w:asciiTheme="minorHAnsi" w:hAnsiTheme="minorHAnsi" w:cs="Arial"/>
              </w:rPr>
            </w:pPr>
          </w:p>
          <w:p w14:paraId="771E9BC1"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Możliwe jest stosowanie rozwiązań hybrydowych, łączących rozwiązania z punktów 2, 3 i 4 pod warunkiem łącznego spełnienia wszystkich warunków dotyczących poszczególnych źródeł ciepła opisanych w punktach 2, 3 i 4 np. pompy ciepła zintegrowane z kotłami gazowymi – jeśli łącznie spełniają wymogi dla OZE i kotłów.</w:t>
            </w:r>
          </w:p>
          <w:p w14:paraId="6C4A3D7C" w14:textId="77777777" w:rsidR="005C2DF5" w:rsidRPr="00D66237" w:rsidRDefault="005C2DF5" w:rsidP="0054487C">
            <w:pPr>
              <w:snapToGrid w:val="0"/>
              <w:jc w:val="both"/>
              <w:rPr>
                <w:rFonts w:asciiTheme="minorHAnsi" w:hAnsiTheme="minorHAnsi"/>
              </w:rPr>
            </w:pPr>
            <w:r w:rsidRPr="00D66237">
              <w:rPr>
                <w:rFonts w:asciiTheme="minorHAnsi" w:hAnsiTheme="minorHAnsi"/>
              </w:rPr>
              <w:t>Kryterium uznaje się za spełnione, jeżeli w projekcie zapewniono (opisano) mechanizmy wyboru grantobiorców z uwzględnieniem niniejszego kryterium (odpowiedź twierdzącą na jeden z punktów od 1 – 4). Jednocześnie w projekcie muszą być zapewnione (opisane) mechanizmy kontroli zarówno w fazie realizacji projektu jak i w okresie jego trwałości gwarantujące, że nie zostaną wprowadzone zmiany sprzeczne z niniejszym kryterium.</w:t>
            </w:r>
          </w:p>
        </w:tc>
        <w:tc>
          <w:tcPr>
            <w:tcW w:w="3406" w:type="dxa"/>
            <w:gridSpan w:val="2"/>
            <w:shd w:val="clear" w:color="auto" w:fill="auto"/>
          </w:tcPr>
          <w:p w14:paraId="7725C058" w14:textId="77777777" w:rsidR="005C2DF5" w:rsidRPr="00D66237" w:rsidRDefault="005C2DF5" w:rsidP="0054487C">
            <w:pPr>
              <w:snapToGrid w:val="0"/>
              <w:jc w:val="center"/>
              <w:rPr>
                <w:rFonts w:asciiTheme="minorHAnsi" w:hAnsiTheme="minorHAnsi" w:cs="Arial"/>
                <w:b/>
              </w:rPr>
            </w:pPr>
            <w:r w:rsidRPr="00D66237">
              <w:rPr>
                <w:rFonts w:asciiTheme="minorHAnsi" w:hAnsiTheme="minorHAnsi" w:cs="Arial"/>
                <w:b/>
              </w:rPr>
              <w:lastRenderedPageBreak/>
              <w:t>Tak/Nie</w:t>
            </w:r>
          </w:p>
          <w:p w14:paraId="7E50EB5F" w14:textId="77777777" w:rsidR="005C2DF5" w:rsidRPr="00D66237" w:rsidRDefault="005C2DF5" w:rsidP="0054487C">
            <w:pPr>
              <w:snapToGrid w:val="0"/>
              <w:jc w:val="center"/>
              <w:rPr>
                <w:rFonts w:asciiTheme="minorHAnsi" w:hAnsiTheme="minorHAnsi" w:cs="Arial"/>
              </w:rPr>
            </w:pPr>
          </w:p>
          <w:p w14:paraId="0DA69635" w14:textId="7577DBDE" w:rsidR="005C2DF5" w:rsidRPr="00D66237" w:rsidRDefault="005C2DF5" w:rsidP="0054487C">
            <w:pPr>
              <w:snapToGrid w:val="0"/>
              <w:rPr>
                <w:rFonts w:asciiTheme="minorHAnsi" w:hAnsiTheme="minorHAnsi" w:cs="Arial"/>
              </w:rPr>
            </w:pPr>
          </w:p>
        </w:tc>
      </w:tr>
      <w:tr w:rsidR="005C2DF5" w:rsidRPr="00D66237" w14:paraId="628203DE" w14:textId="77777777" w:rsidTr="00E2755C">
        <w:trPr>
          <w:trHeight w:val="699"/>
        </w:trPr>
        <w:tc>
          <w:tcPr>
            <w:tcW w:w="916" w:type="dxa"/>
            <w:shd w:val="clear" w:color="auto" w:fill="auto"/>
          </w:tcPr>
          <w:p w14:paraId="1732889F" w14:textId="212BD90E" w:rsidR="005C2DF5" w:rsidRPr="00D66237" w:rsidRDefault="00FB1ABB" w:rsidP="00FB1ABB">
            <w:pPr>
              <w:snapToGrid w:val="0"/>
              <w:ind w:left="426"/>
              <w:contextualSpacing/>
              <w:rPr>
                <w:rFonts w:asciiTheme="minorHAnsi" w:hAnsiTheme="minorHAnsi" w:cs="Arial"/>
                <w:b/>
              </w:rPr>
            </w:pPr>
            <w:r w:rsidRPr="00D66237">
              <w:rPr>
                <w:rFonts w:asciiTheme="minorHAnsi" w:hAnsiTheme="minorHAnsi" w:cs="Arial"/>
                <w:b/>
              </w:rPr>
              <w:lastRenderedPageBreak/>
              <w:t>8.</w:t>
            </w:r>
          </w:p>
        </w:tc>
        <w:tc>
          <w:tcPr>
            <w:tcW w:w="3517" w:type="dxa"/>
            <w:shd w:val="clear" w:color="auto" w:fill="auto"/>
          </w:tcPr>
          <w:p w14:paraId="607F8892" w14:textId="5A5F9D8C" w:rsidR="005C2DF5" w:rsidRPr="00D66237" w:rsidRDefault="005C2DF5" w:rsidP="0054487C">
            <w:pPr>
              <w:snapToGrid w:val="0"/>
              <w:jc w:val="both"/>
              <w:rPr>
                <w:rFonts w:asciiTheme="minorHAnsi" w:hAnsiTheme="minorHAnsi"/>
                <w:b/>
                <w:highlight w:val="yellow"/>
              </w:rPr>
            </w:pPr>
            <w:r w:rsidRPr="00D66237">
              <w:rPr>
                <w:rFonts w:asciiTheme="minorHAnsi" w:hAnsiTheme="minorHAnsi"/>
                <w:b/>
              </w:rPr>
              <w:t>Preferowany system grzewczy</w:t>
            </w:r>
          </w:p>
        </w:tc>
        <w:tc>
          <w:tcPr>
            <w:tcW w:w="6197" w:type="dxa"/>
            <w:gridSpan w:val="2"/>
            <w:shd w:val="clear" w:color="auto" w:fill="auto"/>
          </w:tcPr>
          <w:p w14:paraId="17A7408D" w14:textId="77777777" w:rsidR="005C2DF5" w:rsidRPr="00D66237" w:rsidRDefault="005C2DF5" w:rsidP="0054487C">
            <w:pPr>
              <w:snapToGrid w:val="0"/>
              <w:jc w:val="both"/>
              <w:rPr>
                <w:rFonts w:asciiTheme="minorHAnsi" w:hAnsiTheme="minorHAnsi"/>
              </w:rPr>
            </w:pPr>
            <w:r w:rsidRPr="00D66237">
              <w:rPr>
                <w:rFonts w:asciiTheme="minorHAnsi" w:hAnsiTheme="minorHAnsi"/>
              </w:rPr>
              <w:t>W ramach kryterium należy zweryfikować, czy w projekcie dotychczasowe główne źródła ciepła zostaną zastąpione źródłami ciepła wykorzystującymi OZE.</w:t>
            </w:r>
          </w:p>
          <w:p w14:paraId="06643033" w14:textId="77777777" w:rsidR="005C2DF5" w:rsidRPr="00D66237" w:rsidRDefault="005C2DF5" w:rsidP="0054487C">
            <w:pPr>
              <w:snapToGrid w:val="0"/>
              <w:jc w:val="both"/>
              <w:rPr>
                <w:rFonts w:asciiTheme="minorHAnsi" w:hAnsiTheme="minorHAnsi"/>
              </w:rPr>
            </w:pPr>
            <w:r w:rsidRPr="00D66237">
              <w:rPr>
                <w:rFonts w:asciiTheme="minorHAnsi" w:hAnsiTheme="minorHAnsi"/>
              </w:rPr>
              <w:t xml:space="preserve">Projekt otrzymuje: </w:t>
            </w:r>
          </w:p>
          <w:p w14:paraId="4C99D93C" w14:textId="77777777" w:rsidR="005C2DF5" w:rsidRPr="00D66237" w:rsidRDefault="005C2DF5" w:rsidP="005C2DF5">
            <w:pPr>
              <w:pStyle w:val="Akapitzlist"/>
              <w:numPr>
                <w:ilvl w:val="0"/>
                <w:numId w:val="59"/>
              </w:numPr>
              <w:snapToGrid w:val="0"/>
              <w:spacing w:after="200"/>
              <w:jc w:val="both"/>
              <w:rPr>
                <w:rFonts w:asciiTheme="minorHAnsi" w:hAnsiTheme="minorHAnsi"/>
              </w:rPr>
            </w:pPr>
            <w:r w:rsidRPr="00D66237">
              <w:rPr>
                <w:rFonts w:asciiTheme="minorHAnsi" w:hAnsiTheme="minorHAnsi"/>
              </w:rPr>
              <w:t>4 punkty, jeśli kryteria wyboru grantobiorców dopuszczają wyłącznie / preferują (na poziomie co najmniej 25% wszystkich możliwych punktów do uzyskania przez grantobiorcę) zastępowanie dotychczasowych głównych źródeł ciepła źródłami ciepła wykorzystującymi OZE i źródło ciepła wykorzystujące OZE pozostaje nadal głównym źródłem ciepła</w:t>
            </w:r>
          </w:p>
          <w:p w14:paraId="452FC24A" w14:textId="77777777" w:rsidR="005C2DF5" w:rsidRPr="00D66237" w:rsidRDefault="005C2DF5" w:rsidP="005C2DF5">
            <w:pPr>
              <w:pStyle w:val="Akapitzlist"/>
              <w:numPr>
                <w:ilvl w:val="0"/>
                <w:numId w:val="59"/>
              </w:numPr>
              <w:snapToGrid w:val="0"/>
              <w:spacing w:after="200"/>
              <w:jc w:val="both"/>
              <w:rPr>
                <w:rFonts w:asciiTheme="minorHAnsi" w:hAnsiTheme="minorHAnsi"/>
              </w:rPr>
            </w:pPr>
            <w:r w:rsidRPr="00D66237">
              <w:rPr>
                <w:rFonts w:asciiTheme="minorHAnsi" w:hAnsiTheme="minorHAnsi"/>
              </w:rPr>
              <w:t>2 punkty, jeśli kryteria wyboru grantobiorców nie preferują zastępowanie dotychczasowych głównych źródeł ciepła źródłami ciepła wykorzystującymi OZE ale preferują (na poziomie co najmniej 25% wszystkich możliwych punktów do uzyskania przez grantobiorcę)  wykorzystanie OZE uzupełniająco, np. do produkcji CWU, energii elektrycznej na potrzeby domu / mieszkania.</w:t>
            </w:r>
          </w:p>
          <w:p w14:paraId="543D7583" w14:textId="77777777" w:rsidR="005C2DF5" w:rsidRPr="00D66237" w:rsidRDefault="005C2DF5" w:rsidP="0054487C">
            <w:pPr>
              <w:snapToGrid w:val="0"/>
              <w:jc w:val="both"/>
              <w:rPr>
                <w:rFonts w:asciiTheme="minorHAnsi" w:hAnsiTheme="minorHAnsi"/>
                <w:highlight w:val="yellow"/>
              </w:rPr>
            </w:pPr>
            <w:r w:rsidRPr="00D66237">
              <w:rPr>
                <w:rFonts w:asciiTheme="minorHAnsi" w:hAnsiTheme="minorHAnsi"/>
              </w:rPr>
              <w:t>Punkty się nie sumują.</w:t>
            </w:r>
          </w:p>
          <w:p w14:paraId="54D1FA41" w14:textId="77777777" w:rsidR="005C2DF5" w:rsidRPr="00D66237" w:rsidRDefault="005C2DF5" w:rsidP="0054487C">
            <w:pPr>
              <w:snapToGrid w:val="0"/>
              <w:jc w:val="both"/>
              <w:rPr>
                <w:rFonts w:asciiTheme="minorHAnsi" w:hAnsiTheme="minorHAnsi"/>
              </w:rPr>
            </w:pPr>
            <w:r w:rsidRPr="00D66237">
              <w:rPr>
                <w:rFonts w:asciiTheme="minorHAnsi" w:hAnsiTheme="minorHAnsi"/>
              </w:rPr>
              <w:t xml:space="preserve">Kryterium uznaje się za spełnione, jeżeli w projekcie zapewniono (opisano) mechanizmy wyboru grantobiorców z uwzględnieniem niniejszego kryterium. Jednocześnie w projekcie muszą być zapewnione (opisane) mechanizmy kontroli zarówno w fazie realizacji projektu jak i w okresie jego trwałości gwarantujące, że nie zostaną wprowadzone zmiany </w:t>
            </w:r>
            <w:r w:rsidRPr="00D66237">
              <w:rPr>
                <w:rFonts w:asciiTheme="minorHAnsi" w:hAnsiTheme="minorHAnsi"/>
              </w:rPr>
              <w:lastRenderedPageBreak/>
              <w:t>sprzeczne z niniejszym kryterium.</w:t>
            </w:r>
          </w:p>
        </w:tc>
        <w:tc>
          <w:tcPr>
            <w:tcW w:w="3406" w:type="dxa"/>
            <w:gridSpan w:val="2"/>
            <w:shd w:val="clear" w:color="auto" w:fill="auto"/>
          </w:tcPr>
          <w:p w14:paraId="6332636A" w14:textId="5254F188" w:rsidR="00E2755C" w:rsidRPr="00D66237" w:rsidRDefault="00250450" w:rsidP="00E2755C">
            <w:pPr>
              <w:snapToGrid w:val="0"/>
              <w:jc w:val="center"/>
              <w:rPr>
                <w:rFonts w:asciiTheme="minorHAnsi" w:hAnsiTheme="minorHAnsi" w:cs="Arial"/>
                <w:b/>
              </w:rPr>
            </w:pPr>
            <w:r w:rsidRPr="00D66237">
              <w:rPr>
                <w:rFonts w:asciiTheme="minorHAnsi" w:hAnsiTheme="minorHAnsi" w:cs="Arial"/>
                <w:b/>
              </w:rPr>
              <w:lastRenderedPageBreak/>
              <w:t>0 / 2 /4 pkt</w:t>
            </w:r>
          </w:p>
          <w:p w14:paraId="7428F669" w14:textId="123AC338" w:rsidR="005C2DF5" w:rsidRPr="00D66237" w:rsidRDefault="005C2DF5" w:rsidP="008226C7">
            <w:pPr>
              <w:snapToGrid w:val="0"/>
              <w:rPr>
                <w:rFonts w:asciiTheme="minorHAnsi" w:hAnsiTheme="minorHAnsi" w:cs="Arial"/>
              </w:rPr>
            </w:pPr>
          </w:p>
        </w:tc>
      </w:tr>
      <w:tr w:rsidR="005C2DF5" w:rsidRPr="00D66237" w14:paraId="2B6AC903" w14:textId="77777777" w:rsidTr="00E2755C">
        <w:trPr>
          <w:trHeight w:val="952"/>
        </w:trPr>
        <w:tc>
          <w:tcPr>
            <w:tcW w:w="916" w:type="dxa"/>
            <w:shd w:val="clear" w:color="auto" w:fill="auto"/>
          </w:tcPr>
          <w:p w14:paraId="30DB40E1" w14:textId="2A32B5B8" w:rsidR="005C2DF5" w:rsidRPr="00D66237" w:rsidRDefault="00FB1ABB" w:rsidP="00FB1ABB">
            <w:pPr>
              <w:snapToGrid w:val="0"/>
              <w:ind w:left="426"/>
              <w:contextualSpacing/>
              <w:rPr>
                <w:rFonts w:asciiTheme="minorHAnsi" w:hAnsiTheme="minorHAnsi" w:cs="Arial"/>
                <w:b/>
              </w:rPr>
            </w:pPr>
            <w:r w:rsidRPr="00D66237">
              <w:rPr>
                <w:rFonts w:asciiTheme="minorHAnsi" w:hAnsiTheme="minorHAnsi" w:cs="Arial"/>
                <w:b/>
              </w:rPr>
              <w:t>9.</w:t>
            </w:r>
          </w:p>
        </w:tc>
        <w:tc>
          <w:tcPr>
            <w:tcW w:w="3517" w:type="dxa"/>
            <w:shd w:val="clear" w:color="auto" w:fill="auto"/>
          </w:tcPr>
          <w:p w14:paraId="6654BA6C" w14:textId="77777777" w:rsidR="005C2DF5" w:rsidRPr="00D66237" w:rsidRDefault="005C2DF5" w:rsidP="0054487C">
            <w:pPr>
              <w:snapToGrid w:val="0"/>
              <w:jc w:val="both"/>
              <w:rPr>
                <w:rFonts w:asciiTheme="minorHAnsi" w:hAnsiTheme="minorHAnsi" w:cs="Arial"/>
                <w:b/>
              </w:rPr>
            </w:pPr>
            <w:r w:rsidRPr="00D66237">
              <w:rPr>
                <w:rFonts w:asciiTheme="minorHAnsi" w:hAnsiTheme="minorHAnsi" w:cs="Arial"/>
                <w:b/>
              </w:rPr>
              <w:t>Poprawa jakości powietrza – emisja pyłów</w:t>
            </w:r>
          </w:p>
        </w:tc>
        <w:tc>
          <w:tcPr>
            <w:tcW w:w="6197" w:type="dxa"/>
            <w:gridSpan w:val="2"/>
            <w:shd w:val="clear" w:color="auto" w:fill="auto"/>
          </w:tcPr>
          <w:p w14:paraId="5B80B466"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W ramach kryterium należy zweryfikować czy inwestycja przyczynia się do poprawy jakości powietrza poprzez redukcję emisji pyłów PM 10 i/lub PM 2,5 oraz czy redukcja odbywa się na obszarach szczególnie dotkniętych emisją pyłów.</w:t>
            </w:r>
          </w:p>
          <w:p w14:paraId="73958DDC"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Projekt otrzymuje:</w:t>
            </w:r>
          </w:p>
          <w:p w14:paraId="4B7024D6" w14:textId="77777777" w:rsidR="005C2DF5" w:rsidRPr="00D66237" w:rsidRDefault="005C2DF5" w:rsidP="005C2DF5">
            <w:pPr>
              <w:pStyle w:val="Akapitzlist"/>
              <w:numPr>
                <w:ilvl w:val="0"/>
                <w:numId w:val="56"/>
              </w:numPr>
              <w:snapToGrid w:val="0"/>
              <w:spacing w:after="200"/>
              <w:jc w:val="both"/>
              <w:rPr>
                <w:rFonts w:asciiTheme="minorHAnsi" w:hAnsiTheme="minorHAnsi" w:cs="Arial"/>
              </w:rPr>
            </w:pPr>
            <w:r w:rsidRPr="00D66237">
              <w:rPr>
                <w:rFonts w:asciiTheme="minorHAnsi" w:hAnsiTheme="minorHAnsi" w:cs="Arial"/>
              </w:rPr>
              <w:t>0 punktów, jeżeli przyczynia się do redukcji pyłów PM 10 i/lub PM2,5 ale realizowany jest na obszarze gminy, dla której w aktualnej na dzień składania wniosku o dofinansowanie ocenie jakości powietrza na terenie województwa dolnośląskiego nie stwierdzono przekroczenia w ocenie rocznej w zakresie żadnej grupy zanieczyszczeń;</w:t>
            </w:r>
          </w:p>
          <w:p w14:paraId="2841FF95" w14:textId="77777777" w:rsidR="005C2DF5" w:rsidRPr="00D66237" w:rsidRDefault="005C2DF5" w:rsidP="005C2DF5">
            <w:pPr>
              <w:pStyle w:val="Akapitzlist"/>
              <w:numPr>
                <w:ilvl w:val="0"/>
                <w:numId w:val="56"/>
              </w:numPr>
              <w:snapToGrid w:val="0"/>
              <w:spacing w:after="200"/>
              <w:jc w:val="both"/>
              <w:rPr>
                <w:rFonts w:asciiTheme="minorHAnsi" w:hAnsiTheme="minorHAnsi" w:cs="Arial"/>
              </w:rPr>
            </w:pPr>
            <w:r w:rsidRPr="00D66237">
              <w:rPr>
                <w:rFonts w:asciiTheme="minorHAnsi" w:hAnsiTheme="minorHAnsi" w:cs="Arial"/>
              </w:rPr>
              <w:t>2 punkty, jeżeli przyczynia się do redukcji pyłów PM 10 i/lub PM2,5 i realizowany jest na obszarze gminy, dla której w aktualnej na dzień składania wniosku o dofinansowanie ocenie jakości powietrza na terenie województwa dolnośląskiego stwierdzono przekroczenie wykazane w ocenie rocznej w zakresie jednej grupy zanieczyszczeń;</w:t>
            </w:r>
          </w:p>
          <w:p w14:paraId="06F6C8CE" w14:textId="77777777" w:rsidR="005C2DF5" w:rsidRPr="00D66237" w:rsidRDefault="005C2DF5" w:rsidP="005C2DF5">
            <w:pPr>
              <w:pStyle w:val="Akapitzlist"/>
              <w:numPr>
                <w:ilvl w:val="0"/>
                <w:numId w:val="56"/>
              </w:numPr>
              <w:snapToGrid w:val="0"/>
              <w:spacing w:after="200"/>
              <w:jc w:val="both"/>
              <w:rPr>
                <w:rFonts w:asciiTheme="minorHAnsi" w:hAnsiTheme="minorHAnsi" w:cs="Arial"/>
              </w:rPr>
            </w:pPr>
            <w:r w:rsidRPr="00D66237">
              <w:rPr>
                <w:rFonts w:asciiTheme="minorHAnsi" w:hAnsiTheme="minorHAnsi" w:cs="Arial"/>
              </w:rPr>
              <w:t>3 punkty, jeżeli przyczynia się do redukcji pyłów PM 10 i/lub PM2,5 i realizowany jest na obszarze gminy, dla której w aktualnej na dzień składania wniosku o dofinansowanie ocenie jakości powietrza na terenie województwa dolnośląskiego stwierdzono przekroczenie wykazane w ocenie rocznej w zakresie dwóch grup zanieczyszczeń;</w:t>
            </w:r>
          </w:p>
          <w:p w14:paraId="448239DD" w14:textId="77777777" w:rsidR="005C2DF5" w:rsidRPr="00D66237" w:rsidRDefault="005C2DF5" w:rsidP="005C2DF5">
            <w:pPr>
              <w:pStyle w:val="Akapitzlist"/>
              <w:numPr>
                <w:ilvl w:val="0"/>
                <w:numId w:val="56"/>
              </w:numPr>
              <w:snapToGrid w:val="0"/>
              <w:spacing w:after="200"/>
              <w:jc w:val="both"/>
              <w:rPr>
                <w:rFonts w:asciiTheme="minorHAnsi" w:hAnsiTheme="minorHAnsi" w:cs="Arial"/>
              </w:rPr>
            </w:pPr>
            <w:r w:rsidRPr="00D66237">
              <w:rPr>
                <w:rFonts w:asciiTheme="minorHAnsi" w:hAnsiTheme="minorHAnsi" w:cs="Arial"/>
              </w:rPr>
              <w:t>4 punkty, jeżeli przyczynia się do redukcji pyłów PM 10 i/lub PM2,5 i realizowany jest na obszarze gminy, dla której w aktualnej na dzień składania wniosku o dofinansowanie ocenie jakości powietrza na terenie województwa dolnośląskiego stwierdzono przekroczenie wykazane w ocenie rocznej w zakresie trzech grup zanieczyszczeń.</w:t>
            </w:r>
          </w:p>
          <w:p w14:paraId="52F2A182" w14:textId="77777777" w:rsidR="005C2DF5" w:rsidRPr="00D66237" w:rsidRDefault="005C2DF5" w:rsidP="0054487C">
            <w:pPr>
              <w:snapToGrid w:val="0"/>
              <w:ind w:left="360"/>
              <w:jc w:val="both"/>
              <w:rPr>
                <w:rFonts w:asciiTheme="minorHAnsi" w:hAnsiTheme="minorHAnsi" w:cs="Arial"/>
              </w:rPr>
            </w:pPr>
            <w:r w:rsidRPr="00D66237">
              <w:rPr>
                <w:rFonts w:asciiTheme="minorHAnsi" w:hAnsiTheme="minorHAnsi" w:cs="Arial"/>
              </w:rPr>
              <w:t>Instytucja Organizująca Konkurs wskaże w regulaminie konkursu aktualną dla danego konkursu ocenę jakości powietrza na terenie województwa dolnośląskiego oraz właściwą tabelę służącą do weryfikacji niniejszego kryterium.</w:t>
            </w:r>
          </w:p>
          <w:p w14:paraId="412AEA58" w14:textId="77777777" w:rsidR="005C2DF5" w:rsidRPr="00D66237" w:rsidRDefault="005C2DF5" w:rsidP="0054487C">
            <w:pPr>
              <w:snapToGrid w:val="0"/>
              <w:ind w:left="360"/>
              <w:jc w:val="both"/>
              <w:rPr>
                <w:rFonts w:asciiTheme="minorHAnsi" w:hAnsiTheme="minorHAnsi" w:cs="Arial"/>
              </w:rPr>
            </w:pPr>
            <w:r w:rsidRPr="00D66237">
              <w:rPr>
                <w:rFonts w:asciiTheme="minorHAnsi" w:hAnsiTheme="minorHAnsi" w:cs="Arial"/>
              </w:rPr>
              <w:lastRenderedPageBreak/>
              <w:t>Przez grupę zanieczyszczeń należy rozumieć:</w:t>
            </w:r>
          </w:p>
          <w:p w14:paraId="266CFDF3" w14:textId="77777777" w:rsidR="005C2DF5" w:rsidRPr="00D66237" w:rsidRDefault="005C2DF5" w:rsidP="005C2DF5">
            <w:pPr>
              <w:pStyle w:val="Akapitzlist"/>
              <w:numPr>
                <w:ilvl w:val="0"/>
                <w:numId w:val="57"/>
              </w:numPr>
              <w:snapToGrid w:val="0"/>
              <w:spacing w:after="200"/>
              <w:jc w:val="both"/>
              <w:rPr>
                <w:rFonts w:asciiTheme="minorHAnsi" w:hAnsiTheme="minorHAnsi" w:cs="Arial"/>
              </w:rPr>
            </w:pPr>
            <w:r w:rsidRPr="00D66237">
              <w:rPr>
                <w:rFonts w:asciiTheme="minorHAnsi" w:hAnsiTheme="minorHAnsi" w:cs="Arial"/>
              </w:rPr>
              <w:t>PM 10 / średnia roczna</w:t>
            </w:r>
          </w:p>
          <w:p w14:paraId="3E570DCC" w14:textId="77777777" w:rsidR="005C2DF5" w:rsidRPr="00D66237" w:rsidRDefault="005C2DF5" w:rsidP="005C2DF5">
            <w:pPr>
              <w:pStyle w:val="Akapitzlist"/>
              <w:numPr>
                <w:ilvl w:val="0"/>
                <w:numId w:val="57"/>
              </w:numPr>
              <w:snapToGrid w:val="0"/>
              <w:spacing w:after="200"/>
              <w:jc w:val="both"/>
              <w:rPr>
                <w:rFonts w:asciiTheme="minorHAnsi" w:hAnsiTheme="minorHAnsi" w:cs="Arial"/>
              </w:rPr>
            </w:pPr>
            <w:r w:rsidRPr="00D66237">
              <w:rPr>
                <w:rFonts w:asciiTheme="minorHAnsi" w:hAnsiTheme="minorHAnsi" w:cs="Arial"/>
              </w:rPr>
              <w:t>PM 10 / liczba dni</w:t>
            </w:r>
          </w:p>
          <w:p w14:paraId="2CB91FA1" w14:textId="77777777" w:rsidR="005C2DF5" w:rsidRPr="00D66237" w:rsidRDefault="005C2DF5" w:rsidP="005C2DF5">
            <w:pPr>
              <w:pStyle w:val="Akapitzlist"/>
              <w:numPr>
                <w:ilvl w:val="0"/>
                <w:numId w:val="57"/>
              </w:numPr>
              <w:snapToGrid w:val="0"/>
              <w:spacing w:after="200"/>
              <w:jc w:val="both"/>
              <w:rPr>
                <w:rFonts w:asciiTheme="minorHAnsi" w:hAnsiTheme="minorHAnsi" w:cs="Arial"/>
              </w:rPr>
            </w:pPr>
            <w:r w:rsidRPr="00D66237">
              <w:rPr>
                <w:rFonts w:asciiTheme="minorHAnsi" w:hAnsiTheme="minorHAnsi" w:cs="Arial"/>
              </w:rPr>
              <w:t>PM 2,5 / średnia roczna (II faza).</w:t>
            </w:r>
          </w:p>
          <w:p w14:paraId="54FF3921" w14:textId="77777777" w:rsidR="005C2DF5" w:rsidRPr="00D66237" w:rsidRDefault="005C2DF5" w:rsidP="0054487C">
            <w:pPr>
              <w:snapToGrid w:val="0"/>
              <w:jc w:val="both"/>
              <w:rPr>
                <w:rFonts w:asciiTheme="minorHAnsi" w:hAnsiTheme="minorHAnsi" w:cs="Arial"/>
              </w:rPr>
            </w:pPr>
            <w:r w:rsidRPr="00D66237">
              <w:rPr>
                <w:rFonts w:asciiTheme="minorHAnsi" w:hAnsiTheme="minorHAnsi" w:cs="Arial"/>
              </w:rPr>
              <w:t>Punktowaniu podlega wskazanie przekroczenia dla danej grupy zanieczyszczeń. W przypadku projektów realizowanych na obszarze kilku gmin należy obliczyć punktację dla każdej gminy z osobna, a następnie wyliczyć średnią dla projektu.</w:t>
            </w:r>
          </w:p>
          <w:p w14:paraId="5E3F986E" w14:textId="77777777" w:rsidR="005C2DF5" w:rsidRPr="00D66237" w:rsidRDefault="005C2DF5" w:rsidP="0054487C">
            <w:pPr>
              <w:snapToGrid w:val="0"/>
              <w:jc w:val="both"/>
              <w:rPr>
                <w:rFonts w:asciiTheme="minorHAnsi" w:hAnsiTheme="minorHAnsi"/>
              </w:rPr>
            </w:pPr>
            <w:r w:rsidRPr="00D66237">
              <w:rPr>
                <w:rFonts w:asciiTheme="minorHAnsi" w:hAnsiTheme="minorHAnsi"/>
              </w:rPr>
              <w:t>Kryterium uznaje się za spełnione, jeżeli w projekcie zapewniono (opisano) mechanizmy wyboru grantobiorców z uwzględnieniem niniejszego kryterium. Jednocześnie w projekcie muszą być zapewnione (opisane) mechanizmy kontroli w fazie realizacji projektu gwarantujące, że nie zostaną wprowadzone zmiany sprzeczne z niniejszym kryterium.</w:t>
            </w:r>
          </w:p>
        </w:tc>
        <w:tc>
          <w:tcPr>
            <w:tcW w:w="3406" w:type="dxa"/>
            <w:gridSpan w:val="2"/>
            <w:shd w:val="clear" w:color="auto" w:fill="auto"/>
          </w:tcPr>
          <w:p w14:paraId="6B9DB059" w14:textId="1694A32D" w:rsidR="00250450" w:rsidRPr="00D66237" w:rsidRDefault="00250450" w:rsidP="00250450">
            <w:pPr>
              <w:snapToGrid w:val="0"/>
              <w:jc w:val="center"/>
              <w:rPr>
                <w:rFonts w:asciiTheme="minorHAnsi" w:hAnsiTheme="minorHAnsi" w:cs="Arial"/>
                <w:b/>
              </w:rPr>
            </w:pPr>
            <w:r w:rsidRPr="00D66237">
              <w:rPr>
                <w:rFonts w:asciiTheme="minorHAnsi" w:hAnsiTheme="minorHAnsi" w:cs="Arial"/>
                <w:b/>
              </w:rPr>
              <w:lastRenderedPageBreak/>
              <w:t>0 / 2 / 3 / 4 pkt</w:t>
            </w:r>
          </w:p>
          <w:p w14:paraId="77B30F9C" w14:textId="736000A6" w:rsidR="005C2DF5" w:rsidRPr="00D66237" w:rsidRDefault="005C2DF5" w:rsidP="0054487C">
            <w:pPr>
              <w:snapToGrid w:val="0"/>
              <w:jc w:val="center"/>
              <w:rPr>
                <w:rFonts w:asciiTheme="minorHAnsi" w:hAnsiTheme="minorHAnsi" w:cs="Arial"/>
              </w:rPr>
            </w:pPr>
          </w:p>
        </w:tc>
      </w:tr>
      <w:tr w:rsidR="005C2DF5" w:rsidRPr="00D66237" w14:paraId="5CDA5F3D" w14:textId="77777777" w:rsidTr="00E2755C">
        <w:trPr>
          <w:trHeight w:val="952"/>
        </w:trPr>
        <w:tc>
          <w:tcPr>
            <w:tcW w:w="916" w:type="dxa"/>
            <w:tcBorders>
              <w:top w:val="nil"/>
            </w:tcBorders>
            <w:shd w:val="clear" w:color="auto" w:fill="auto"/>
          </w:tcPr>
          <w:p w14:paraId="0BAA79CB" w14:textId="76722031" w:rsidR="005C2DF5" w:rsidRPr="00D66237" w:rsidRDefault="00FB1ABB" w:rsidP="00FB1ABB">
            <w:pPr>
              <w:snapToGrid w:val="0"/>
              <w:ind w:left="426"/>
              <w:contextualSpacing/>
              <w:rPr>
                <w:rFonts w:asciiTheme="minorHAnsi" w:hAnsiTheme="minorHAnsi" w:cs="Arial"/>
                <w:b/>
              </w:rPr>
            </w:pPr>
            <w:r w:rsidRPr="00D66237">
              <w:rPr>
                <w:rFonts w:asciiTheme="minorHAnsi" w:hAnsiTheme="minorHAnsi" w:cs="Arial"/>
                <w:b/>
              </w:rPr>
              <w:lastRenderedPageBreak/>
              <w:t>10.</w:t>
            </w:r>
          </w:p>
        </w:tc>
        <w:tc>
          <w:tcPr>
            <w:tcW w:w="3517" w:type="dxa"/>
            <w:tcBorders>
              <w:top w:val="nil"/>
            </w:tcBorders>
            <w:shd w:val="clear" w:color="auto" w:fill="auto"/>
          </w:tcPr>
          <w:p w14:paraId="260F21C9" w14:textId="77777777" w:rsidR="005C2DF5" w:rsidRPr="00D66237" w:rsidRDefault="005C2DF5" w:rsidP="0054487C">
            <w:pPr>
              <w:snapToGrid w:val="0"/>
              <w:jc w:val="both"/>
              <w:rPr>
                <w:rFonts w:asciiTheme="minorHAnsi" w:hAnsiTheme="minorHAnsi"/>
                <w:b/>
                <w:bCs/>
              </w:rPr>
            </w:pPr>
            <w:r w:rsidRPr="00D66237">
              <w:rPr>
                <w:rFonts w:asciiTheme="minorHAnsi" w:hAnsiTheme="minorHAnsi"/>
                <w:b/>
                <w:bCs/>
              </w:rPr>
              <w:t>Elementy termomodernizacyjne</w:t>
            </w:r>
          </w:p>
        </w:tc>
        <w:tc>
          <w:tcPr>
            <w:tcW w:w="6197" w:type="dxa"/>
            <w:gridSpan w:val="2"/>
            <w:tcBorders>
              <w:top w:val="nil"/>
            </w:tcBorders>
            <w:shd w:val="clear" w:color="auto" w:fill="auto"/>
          </w:tcPr>
          <w:p w14:paraId="2D8FE8F9" w14:textId="77777777" w:rsidR="005C2DF5" w:rsidRPr="00D66237" w:rsidRDefault="005C2DF5" w:rsidP="0054487C">
            <w:pPr>
              <w:jc w:val="both"/>
              <w:rPr>
                <w:rFonts w:asciiTheme="minorHAnsi" w:hAnsiTheme="minorHAnsi"/>
              </w:rPr>
            </w:pPr>
            <w:r w:rsidRPr="00D66237">
              <w:rPr>
                <w:rFonts w:asciiTheme="minorHAnsi" w:hAnsiTheme="minorHAnsi"/>
              </w:rPr>
              <w:t>Jeżeli w budynku / mieszkaniu przeprowadzono minimalne inwestycje na rzecz efektywności energetycznej obejmujące:</w:t>
            </w:r>
          </w:p>
          <w:p w14:paraId="04E960D7" w14:textId="77777777" w:rsidR="005C2DF5" w:rsidRPr="00D66237" w:rsidRDefault="005C2DF5" w:rsidP="005C2DF5">
            <w:pPr>
              <w:pStyle w:val="Akapitzlist"/>
              <w:numPr>
                <w:ilvl w:val="0"/>
                <w:numId w:val="62"/>
              </w:numPr>
              <w:spacing w:after="200"/>
              <w:jc w:val="both"/>
              <w:rPr>
                <w:rFonts w:asciiTheme="minorHAnsi" w:hAnsiTheme="minorHAnsi"/>
              </w:rPr>
            </w:pPr>
            <w:r w:rsidRPr="00D66237">
              <w:rPr>
                <w:rFonts w:asciiTheme="minorHAnsi" w:hAnsiTheme="minorHAnsi"/>
              </w:rPr>
              <w:t>wymianę w domu / mieszkaniu będącym przedmiotem projektu (w pomieszczeniach ogrzewanych), wszystkich okien na okna o lepszej charakterystyce  tj. nie gorszej niż Uk (max)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firstRow="1" w:lastRow="0" w:firstColumn="1" w:lastColumn="0" w:noHBand="0" w:noVBand="1"/>
            </w:tblPr>
            <w:tblGrid>
              <w:gridCol w:w="2680"/>
              <w:gridCol w:w="2549"/>
            </w:tblGrid>
            <w:tr w:rsidR="005C2DF5" w:rsidRPr="00D66237" w14:paraId="1436D7D8" w14:textId="77777777" w:rsidTr="0054487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34DD6B" w14:textId="77777777" w:rsidR="005C2DF5" w:rsidRPr="00D66237" w:rsidRDefault="005C2DF5" w:rsidP="0054487C">
                  <w:pPr>
                    <w:spacing w:after="0" w:line="240" w:lineRule="auto"/>
                    <w:rPr>
                      <w:i/>
                      <w:iCs/>
                      <w:sz w:val="20"/>
                      <w:szCs w:val="20"/>
                    </w:rPr>
                  </w:pPr>
                  <w:r w:rsidRPr="00D66237">
                    <w:rPr>
                      <w:i/>
                      <w:iCs/>
                      <w:sz w:val="20"/>
                      <w:szCs w:val="20"/>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1F0605" w14:textId="77777777" w:rsidR="005C2DF5" w:rsidRPr="00D66237" w:rsidRDefault="005C2DF5" w:rsidP="0054487C">
                  <w:pPr>
                    <w:spacing w:after="0" w:line="240" w:lineRule="auto"/>
                    <w:rPr>
                      <w:i/>
                      <w:iCs/>
                      <w:sz w:val="20"/>
                      <w:szCs w:val="20"/>
                    </w:rPr>
                  </w:pPr>
                  <w:r w:rsidRPr="00D66237">
                    <w:rPr>
                      <w:i/>
                      <w:iCs/>
                      <w:sz w:val="20"/>
                      <w:szCs w:val="20"/>
                    </w:rPr>
                    <w:t>Uk (max) okna [W/(m2*K)]  </w:t>
                  </w:r>
                </w:p>
              </w:tc>
            </w:tr>
            <w:tr w:rsidR="005C2DF5" w:rsidRPr="00D66237" w14:paraId="2D5C7792" w14:textId="77777777" w:rsidTr="0054487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32DD9" w14:textId="77777777" w:rsidR="005C2DF5" w:rsidRPr="00D66237" w:rsidRDefault="005C2DF5" w:rsidP="0054487C">
                  <w:pPr>
                    <w:spacing w:after="0" w:line="240" w:lineRule="auto"/>
                    <w:jc w:val="center"/>
                    <w:rPr>
                      <w:i/>
                      <w:iCs/>
                      <w:sz w:val="20"/>
                      <w:szCs w:val="20"/>
                    </w:rPr>
                  </w:pPr>
                  <w:r w:rsidRPr="00D66237">
                    <w:rPr>
                      <w:i/>
                      <w:iCs/>
                      <w:sz w:val="20"/>
                      <w:szCs w:val="20"/>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70029008" w14:textId="77777777" w:rsidR="005C2DF5" w:rsidRPr="00D66237" w:rsidRDefault="005C2DF5" w:rsidP="0054487C">
                  <w:pPr>
                    <w:spacing w:after="0" w:line="240" w:lineRule="auto"/>
                    <w:jc w:val="center"/>
                    <w:rPr>
                      <w:i/>
                      <w:iCs/>
                      <w:sz w:val="20"/>
                      <w:szCs w:val="20"/>
                    </w:rPr>
                  </w:pPr>
                  <w:r w:rsidRPr="00D66237">
                    <w:rPr>
                      <w:i/>
                      <w:iCs/>
                      <w:sz w:val="20"/>
                      <w:szCs w:val="20"/>
                    </w:rPr>
                    <w:t>2,0 - 2,2</w:t>
                  </w:r>
                </w:p>
              </w:tc>
            </w:tr>
            <w:tr w:rsidR="005C2DF5" w:rsidRPr="00D66237" w14:paraId="51DBD5D0" w14:textId="77777777" w:rsidTr="0054487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3EED6" w14:textId="77777777" w:rsidR="005C2DF5" w:rsidRPr="00D66237" w:rsidRDefault="005C2DF5" w:rsidP="0054487C">
                  <w:pPr>
                    <w:spacing w:after="0" w:line="240" w:lineRule="auto"/>
                    <w:jc w:val="center"/>
                    <w:rPr>
                      <w:i/>
                      <w:iCs/>
                      <w:sz w:val="20"/>
                      <w:szCs w:val="20"/>
                    </w:rPr>
                  </w:pPr>
                  <w:r w:rsidRPr="00D66237">
                    <w:rPr>
                      <w:i/>
                      <w:iCs/>
                      <w:sz w:val="20"/>
                      <w:szCs w:val="20"/>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47CE5691" w14:textId="77777777" w:rsidR="005C2DF5" w:rsidRPr="00D66237" w:rsidRDefault="005C2DF5" w:rsidP="0054487C">
                  <w:pPr>
                    <w:spacing w:after="0" w:line="240" w:lineRule="auto"/>
                    <w:jc w:val="center"/>
                    <w:rPr>
                      <w:i/>
                      <w:iCs/>
                      <w:sz w:val="20"/>
                      <w:szCs w:val="20"/>
                    </w:rPr>
                  </w:pPr>
                  <w:r w:rsidRPr="00D66237">
                    <w:rPr>
                      <w:i/>
                      <w:iCs/>
                      <w:sz w:val="20"/>
                      <w:szCs w:val="20"/>
                    </w:rPr>
                    <w:t>1,9 - 2,2</w:t>
                  </w:r>
                </w:p>
              </w:tc>
            </w:tr>
            <w:tr w:rsidR="005C2DF5" w:rsidRPr="00D66237" w14:paraId="6FD9412C" w14:textId="77777777" w:rsidTr="0054487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65DEE" w14:textId="77777777" w:rsidR="005C2DF5" w:rsidRPr="00D66237" w:rsidRDefault="005C2DF5" w:rsidP="0054487C">
                  <w:pPr>
                    <w:spacing w:after="0" w:line="240" w:lineRule="auto"/>
                    <w:jc w:val="center"/>
                    <w:rPr>
                      <w:i/>
                      <w:iCs/>
                      <w:sz w:val="20"/>
                      <w:szCs w:val="20"/>
                    </w:rPr>
                  </w:pPr>
                  <w:r w:rsidRPr="00D66237">
                    <w:rPr>
                      <w:i/>
                      <w:iCs/>
                      <w:sz w:val="20"/>
                      <w:szCs w:val="20"/>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7E6E7DB3" w14:textId="77777777" w:rsidR="005C2DF5" w:rsidRPr="00D66237" w:rsidRDefault="005C2DF5" w:rsidP="0054487C">
                  <w:pPr>
                    <w:spacing w:after="0" w:line="240" w:lineRule="auto"/>
                    <w:jc w:val="center"/>
                    <w:rPr>
                      <w:i/>
                      <w:iCs/>
                      <w:sz w:val="20"/>
                      <w:szCs w:val="20"/>
                    </w:rPr>
                  </w:pPr>
                  <w:r w:rsidRPr="00D66237">
                    <w:rPr>
                      <w:i/>
                      <w:iCs/>
                      <w:sz w:val="20"/>
                      <w:szCs w:val="20"/>
                    </w:rPr>
                    <w:t>1,6 - 2,2</w:t>
                  </w:r>
                </w:p>
              </w:tc>
            </w:tr>
            <w:tr w:rsidR="005C2DF5" w:rsidRPr="00D66237" w14:paraId="6D1077F8" w14:textId="77777777" w:rsidTr="0054487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62CA4" w14:textId="3FB857EA" w:rsidR="005C2DF5" w:rsidRPr="00D66237" w:rsidRDefault="00250450" w:rsidP="00250450">
                  <w:pPr>
                    <w:tabs>
                      <w:tab w:val="left" w:pos="408"/>
                      <w:tab w:val="center" w:pos="1232"/>
                    </w:tabs>
                    <w:spacing w:after="0" w:line="240" w:lineRule="auto"/>
                    <w:rPr>
                      <w:i/>
                      <w:iCs/>
                      <w:sz w:val="20"/>
                      <w:szCs w:val="20"/>
                    </w:rPr>
                  </w:pPr>
                  <w:r w:rsidRPr="00D66237">
                    <w:rPr>
                      <w:i/>
                      <w:iCs/>
                      <w:sz w:val="20"/>
                      <w:szCs w:val="20"/>
                    </w:rPr>
                    <w:tab/>
                  </w:r>
                  <w:r w:rsidRPr="00D66237">
                    <w:rPr>
                      <w:i/>
                      <w:iCs/>
                      <w:sz w:val="20"/>
                      <w:szCs w:val="20"/>
                    </w:rPr>
                    <w:tab/>
                  </w:r>
                  <w:r w:rsidR="005C2DF5" w:rsidRPr="00D66237">
                    <w:rPr>
                      <w:i/>
                      <w:iCs/>
                      <w:sz w:val="20"/>
                      <w:szCs w:val="20"/>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0E0B92EE" w14:textId="77777777" w:rsidR="005C2DF5" w:rsidRPr="00D66237" w:rsidRDefault="005C2DF5" w:rsidP="0054487C">
                  <w:pPr>
                    <w:spacing w:after="0" w:line="240" w:lineRule="auto"/>
                    <w:jc w:val="center"/>
                    <w:rPr>
                      <w:i/>
                      <w:iCs/>
                      <w:sz w:val="20"/>
                      <w:szCs w:val="20"/>
                    </w:rPr>
                  </w:pPr>
                  <w:r w:rsidRPr="00D66237">
                    <w:rPr>
                      <w:i/>
                      <w:iCs/>
                      <w:sz w:val="20"/>
                      <w:szCs w:val="20"/>
                    </w:rPr>
                    <w:t>1,5 - 1,7</w:t>
                  </w:r>
                </w:p>
              </w:tc>
            </w:tr>
            <w:tr w:rsidR="005C2DF5" w:rsidRPr="00D66237" w14:paraId="754DCEAD" w14:textId="77777777" w:rsidTr="0054487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7582F" w14:textId="77777777" w:rsidR="005C2DF5" w:rsidRPr="00D66237" w:rsidRDefault="005C2DF5" w:rsidP="0054487C">
                  <w:pPr>
                    <w:spacing w:after="0" w:line="240" w:lineRule="auto"/>
                    <w:jc w:val="center"/>
                    <w:rPr>
                      <w:i/>
                      <w:iCs/>
                      <w:sz w:val="20"/>
                      <w:szCs w:val="20"/>
                    </w:rPr>
                  </w:pPr>
                  <w:r w:rsidRPr="00D66237">
                    <w:rPr>
                      <w:i/>
                      <w:iCs/>
                      <w:sz w:val="20"/>
                      <w:szCs w:val="20"/>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7F5EDCE9" w14:textId="77777777" w:rsidR="005C2DF5" w:rsidRPr="00D66237" w:rsidRDefault="005C2DF5" w:rsidP="0054487C">
                  <w:pPr>
                    <w:spacing w:after="0" w:line="240" w:lineRule="auto"/>
                    <w:jc w:val="center"/>
                    <w:rPr>
                      <w:i/>
                      <w:iCs/>
                      <w:sz w:val="20"/>
                      <w:szCs w:val="20"/>
                    </w:rPr>
                  </w:pPr>
                  <w:r w:rsidRPr="00D66237">
                    <w:rPr>
                      <w:i/>
                      <w:iCs/>
                      <w:sz w:val="20"/>
                      <w:szCs w:val="20"/>
                    </w:rPr>
                    <w:t>1,3 - 1,5</w:t>
                  </w:r>
                </w:p>
              </w:tc>
            </w:tr>
            <w:tr w:rsidR="005C2DF5" w:rsidRPr="00D66237" w14:paraId="26788364" w14:textId="77777777" w:rsidTr="0054487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EC2C0" w14:textId="77777777" w:rsidR="005C2DF5" w:rsidRPr="00D66237" w:rsidRDefault="005C2DF5" w:rsidP="0054487C">
                  <w:pPr>
                    <w:spacing w:after="0" w:line="240" w:lineRule="auto"/>
                    <w:jc w:val="center"/>
                    <w:rPr>
                      <w:i/>
                      <w:iCs/>
                      <w:sz w:val="20"/>
                      <w:szCs w:val="20"/>
                    </w:rPr>
                  </w:pPr>
                  <w:r w:rsidRPr="00D66237">
                    <w:rPr>
                      <w:i/>
                      <w:iCs/>
                      <w:sz w:val="20"/>
                      <w:szCs w:val="20"/>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7C821BFC" w14:textId="77777777" w:rsidR="005C2DF5" w:rsidRPr="00D66237" w:rsidRDefault="005C2DF5" w:rsidP="0054487C">
                  <w:pPr>
                    <w:spacing w:after="0" w:line="240" w:lineRule="auto"/>
                    <w:jc w:val="center"/>
                    <w:rPr>
                      <w:i/>
                      <w:iCs/>
                      <w:sz w:val="20"/>
                      <w:szCs w:val="20"/>
                    </w:rPr>
                  </w:pPr>
                  <w:r w:rsidRPr="00D66237">
                    <w:rPr>
                      <w:i/>
                      <w:iCs/>
                      <w:sz w:val="20"/>
                      <w:szCs w:val="20"/>
                    </w:rPr>
                    <w:t>1,1 - 0,9</w:t>
                  </w:r>
                </w:p>
              </w:tc>
            </w:tr>
          </w:tbl>
          <w:p w14:paraId="78555C15" w14:textId="77777777" w:rsidR="005C2DF5" w:rsidRPr="00D66237" w:rsidRDefault="005C2DF5" w:rsidP="0054487C">
            <w:pPr>
              <w:jc w:val="both"/>
              <w:rPr>
                <w:rFonts w:asciiTheme="minorHAnsi" w:hAnsiTheme="minorHAnsi"/>
              </w:rPr>
            </w:pPr>
            <w:r w:rsidRPr="00D66237">
              <w:rPr>
                <w:rFonts w:asciiTheme="minorHAnsi" w:hAnsiTheme="minorHAnsi"/>
              </w:rPr>
              <w:t xml:space="preserve">                 - projekt otrzymuje 1 punkt;</w:t>
            </w:r>
          </w:p>
          <w:p w14:paraId="7DBA79C7" w14:textId="77777777" w:rsidR="005C2DF5" w:rsidRPr="00D66237" w:rsidRDefault="005C2DF5" w:rsidP="005C2DF5">
            <w:pPr>
              <w:pStyle w:val="Akapitzlist"/>
              <w:numPr>
                <w:ilvl w:val="2"/>
                <w:numId w:val="48"/>
              </w:numPr>
              <w:spacing w:after="200"/>
              <w:ind w:left="775" w:hanging="426"/>
              <w:jc w:val="both"/>
              <w:rPr>
                <w:rFonts w:asciiTheme="minorHAnsi" w:hAnsiTheme="minorHAnsi"/>
              </w:rPr>
            </w:pPr>
            <w:r w:rsidRPr="00D66237">
              <w:rPr>
                <w:rFonts w:asciiTheme="minorHAnsi" w:hAnsiTheme="minorHAnsi"/>
              </w:rPr>
              <w:t xml:space="preserve">ocieplenie stropów / dachów warstwą izolacji (np. wełna mineralna, styropian) przynajmniej o grubości 10 cm lub równoważne - jeśli projekt dotyczy całego budynku i/lub </w:t>
            </w:r>
            <w:r w:rsidRPr="00D66237">
              <w:rPr>
                <w:rFonts w:asciiTheme="minorHAnsi" w:hAnsiTheme="minorHAnsi"/>
              </w:rPr>
              <w:lastRenderedPageBreak/>
              <w:t>pojedynczych mieszkań na najniższych (podłogi nad gruntem, stropy nad nieogrzewanymi piwnicami) i najwyższych kondygnacjach - projekt otrzymuje 1 punkt;</w:t>
            </w:r>
          </w:p>
          <w:p w14:paraId="75DEB3B6" w14:textId="77777777" w:rsidR="005C2DF5" w:rsidRPr="00D66237" w:rsidRDefault="005C2DF5" w:rsidP="005C2DF5">
            <w:pPr>
              <w:pStyle w:val="Akapitzlist"/>
              <w:numPr>
                <w:ilvl w:val="0"/>
                <w:numId w:val="61"/>
              </w:numPr>
              <w:spacing w:after="200"/>
              <w:jc w:val="both"/>
              <w:rPr>
                <w:rFonts w:asciiTheme="minorHAnsi" w:hAnsiTheme="minorHAnsi"/>
              </w:rPr>
            </w:pPr>
            <w:r w:rsidRPr="00D66237">
              <w:rPr>
                <w:rFonts w:asciiTheme="minorHAnsi" w:hAnsiTheme="minorHAnsi"/>
              </w:rPr>
              <w:t xml:space="preserve">ocieplenie ścian warstwą izolacji (np. wełna mineralna, styropian) przynajmniej o grubości 10 cm lub równoważne - jeśli projekt dotyczy całego budynku - wszystkich ścian lub ścian wokół pojedynczych mieszkań, jeśli są przedmiotem projektu - projekt otrzymuje 1 punkt;  </w:t>
            </w:r>
          </w:p>
          <w:p w14:paraId="7BA14706" w14:textId="77777777" w:rsidR="005C2DF5" w:rsidRPr="00D66237" w:rsidRDefault="005C2DF5" w:rsidP="005C2DF5">
            <w:pPr>
              <w:pStyle w:val="Akapitzlist"/>
              <w:numPr>
                <w:ilvl w:val="0"/>
                <w:numId w:val="61"/>
              </w:numPr>
              <w:spacing w:after="200"/>
              <w:jc w:val="both"/>
              <w:rPr>
                <w:rFonts w:asciiTheme="minorHAnsi" w:hAnsiTheme="minorHAnsi"/>
              </w:rPr>
            </w:pPr>
            <w:r w:rsidRPr="00D66237">
              <w:rPr>
                <w:rFonts w:asciiTheme="minorHAnsi" w:hAnsiTheme="minorHAnsi"/>
              </w:rPr>
              <w:t>zastosowanie wentylacji z odzyskiem ciepła - projekt otrzymuje 1 punkt.</w:t>
            </w:r>
          </w:p>
          <w:p w14:paraId="752E9F65" w14:textId="77777777" w:rsidR="005C2DF5" w:rsidRPr="00D66237" w:rsidRDefault="005C2DF5" w:rsidP="0054487C">
            <w:pPr>
              <w:jc w:val="both"/>
              <w:rPr>
                <w:rFonts w:asciiTheme="minorHAnsi" w:hAnsiTheme="minorHAnsi"/>
              </w:rPr>
            </w:pPr>
            <w:bookmarkStart w:id="3" w:name="_Hlk527623578"/>
            <w:r w:rsidRPr="00D66237">
              <w:rPr>
                <w:rFonts w:asciiTheme="minorHAnsi" w:hAnsiTheme="minorHAnsi"/>
              </w:rPr>
              <w:t>Punkty można sumować. Punkty przyznawane są, jeżeli ocieplane są wszystkie stropy / dachy / podłogi / ściany / wymieniane okna /   instalowana wentylacja z odzyskiem ciepła – dla całego budynku objętego projektem oraz ocieplane stropy / dachy / podłogi / ściany / wymieniane okna / instalowana wentylacja z odzyskiem ciepła dla poszczególnych mieszkań, jeśli pojedyncze mieszkania objęte są projektem. Izolacja stropów / dachów dotyczy mieszkań na skrajnych kondygnacjach (izolacja ma bezpośredni wpływ na zapotrzebowanie na energię w mieszkaniu). Ocieplenie ściany lub stropu w mieszkaniu nie będącym przedmiotem projektu albo ocieplenie niektórych ścian / stropów lub ich fragmentu w przypadku, gdy cały budynek jest obiektem projektu nie stanowi podstawy do przyznania punktu. Analogicznie należy rozstrzygać w przypadku okien i wentylacji.</w:t>
            </w:r>
          </w:p>
          <w:bookmarkEnd w:id="3"/>
          <w:p w14:paraId="18A5ED64" w14:textId="77777777" w:rsidR="005C2DF5" w:rsidRPr="00D66237" w:rsidRDefault="005C2DF5" w:rsidP="0054487C">
            <w:pPr>
              <w:jc w:val="both"/>
              <w:rPr>
                <w:rFonts w:asciiTheme="minorHAnsi" w:hAnsiTheme="minorHAnsi"/>
              </w:rPr>
            </w:pPr>
            <w:r w:rsidRPr="00D66237">
              <w:rPr>
                <w:rFonts w:asciiTheme="minorHAnsi" w:hAnsiTheme="minorHAnsi"/>
              </w:rPr>
              <w:t>Kryterium uznaje się za spełnione, jeżeli w projekcie zapewniono (opisano) mechanizmy wyboru grantobiorców z uwzględnieniem niniejszego kryterium. Punkty przyznawane są w takim zakresie, w jaki zostanie zastosowany do wyboru grantobiorców, tj. 4 punkty za uwzględnienie wszystkich warunków w kryteriach wyboru grantobiorców, 3 punkty za 3 warunki itp. Jednocześnie w projekcie muszą być zapewnione (opisane) mechanizmy kontroli zarówno w fazie realizacji projektu jak i w okresie jego trwałości gwarantujące, że nie zostaną wprowadzone zmiany sprzeczne z niniejszym kryterium.</w:t>
            </w:r>
          </w:p>
        </w:tc>
        <w:tc>
          <w:tcPr>
            <w:tcW w:w="3406" w:type="dxa"/>
            <w:gridSpan w:val="2"/>
            <w:tcBorders>
              <w:top w:val="nil"/>
            </w:tcBorders>
            <w:shd w:val="clear" w:color="auto" w:fill="auto"/>
          </w:tcPr>
          <w:p w14:paraId="082A8E21" w14:textId="33CE00B9" w:rsidR="00E2755C" w:rsidRPr="00D66237" w:rsidRDefault="00250450" w:rsidP="00E2755C">
            <w:pPr>
              <w:snapToGrid w:val="0"/>
              <w:jc w:val="center"/>
              <w:rPr>
                <w:rFonts w:asciiTheme="minorHAnsi" w:hAnsiTheme="minorHAnsi" w:cs="Arial"/>
                <w:b/>
              </w:rPr>
            </w:pPr>
            <w:r w:rsidRPr="00D66237">
              <w:rPr>
                <w:rFonts w:asciiTheme="minorHAnsi" w:hAnsiTheme="minorHAnsi" w:cs="Arial"/>
                <w:b/>
              </w:rPr>
              <w:lastRenderedPageBreak/>
              <w:t>1 – 4 pkt</w:t>
            </w:r>
          </w:p>
          <w:p w14:paraId="3D2F5B9D" w14:textId="4505E12E" w:rsidR="005C2DF5" w:rsidRPr="00D66237" w:rsidRDefault="005C2DF5" w:rsidP="0054487C">
            <w:pPr>
              <w:jc w:val="both"/>
              <w:rPr>
                <w:rFonts w:asciiTheme="minorHAnsi" w:hAnsiTheme="minorHAnsi"/>
                <w:b/>
                <w:vertAlign w:val="subscript"/>
              </w:rPr>
            </w:pPr>
          </w:p>
        </w:tc>
      </w:tr>
    </w:tbl>
    <w:p w14:paraId="31AA3554" w14:textId="77777777" w:rsidR="00814A40" w:rsidRPr="00D66237" w:rsidRDefault="00814A40" w:rsidP="005C2DF5">
      <w:pPr>
        <w:jc w:val="both"/>
        <w:rPr>
          <w:rFonts w:ascii="Calibri" w:eastAsia="Times New Roman" w:hAnsi="Calibri" w:cs="Times New Roman"/>
          <w:b/>
          <w:i/>
          <w:sz w:val="20"/>
          <w:szCs w:val="20"/>
        </w:rPr>
      </w:pPr>
    </w:p>
    <w:sectPr w:rsidR="00814A40" w:rsidRPr="00D66237" w:rsidSect="00BF2EDE">
      <w:footerReference w:type="default" r:id="rId8"/>
      <w:headerReference w:type="first" r:id="rId9"/>
      <w:footerReference w:type="first" r:id="rId10"/>
      <w:pgSz w:w="16838" w:h="11906" w:orient="landscape"/>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B1BAF" w14:textId="77777777" w:rsidR="00AE514C" w:rsidRDefault="00AE514C" w:rsidP="00CF1725">
      <w:pPr>
        <w:spacing w:after="0" w:line="240" w:lineRule="auto"/>
      </w:pPr>
      <w:r>
        <w:separator/>
      </w:r>
    </w:p>
  </w:endnote>
  <w:endnote w:type="continuationSeparator" w:id="0">
    <w:p w14:paraId="6210F8E6" w14:textId="77777777" w:rsidR="00AE514C" w:rsidRDefault="00AE514C" w:rsidP="00CF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MS Sans Serif">
    <w:altName w:val="Microsoft Sans 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891"/>
      <w:docPartObj>
        <w:docPartGallery w:val="Page Numbers (Bottom of Page)"/>
        <w:docPartUnique/>
      </w:docPartObj>
    </w:sdtPr>
    <w:sdtEndPr/>
    <w:sdtContent>
      <w:p w14:paraId="2B38FCC6" w14:textId="77777777" w:rsidR="006741FB" w:rsidRDefault="006741FB">
        <w:pPr>
          <w:pStyle w:val="Stopka"/>
          <w:jc w:val="right"/>
        </w:pPr>
        <w:r>
          <w:fldChar w:fldCharType="begin"/>
        </w:r>
        <w:r>
          <w:instrText xml:space="preserve"> PAGE   \* MERGEFORMAT </w:instrText>
        </w:r>
        <w:r>
          <w:fldChar w:fldCharType="separate"/>
        </w:r>
        <w:r w:rsidR="00D66237">
          <w:rPr>
            <w:noProof/>
          </w:rPr>
          <w:t>5</w:t>
        </w:r>
        <w:r>
          <w:rPr>
            <w:noProof/>
          </w:rPr>
          <w:fldChar w:fldCharType="end"/>
        </w:r>
      </w:p>
    </w:sdtContent>
  </w:sdt>
  <w:p w14:paraId="44460C39" w14:textId="77777777" w:rsidR="006741FB" w:rsidRDefault="006741F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452294"/>
      <w:docPartObj>
        <w:docPartGallery w:val="Page Numbers (Bottom of Page)"/>
        <w:docPartUnique/>
      </w:docPartObj>
    </w:sdtPr>
    <w:sdtEndPr/>
    <w:sdtContent>
      <w:p w14:paraId="0B661B5C" w14:textId="5BEECC9F" w:rsidR="00E2755C" w:rsidRDefault="00E2755C">
        <w:pPr>
          <w:pStyle w:val="Stopka"/>
          <w:jc w:val="center"/>
        </w:pPr>
        <w:r>
          <w:fldChar w:fldCharType="begin"/>
        </w:r>
        <w:r>
          <w:instrText>PAGE   \* MERGEFORMAT</w:instrText>
        </w:r>
        <w:r>
          <w:fldChar w:fldCharType="separate"/>
        </w:r>
        <w:r w:rsidR="00D66237">
          <w:rPr>
            <w:noProof/>
          </w:rPr>
          <w:t>1</w:t>
        </w:r>
        <w:r>
          <w:fldChar w:fldCharType="end"/>
        </w:r>
      </w:p>
    </w:sdtContent>
  </w:sdt>
  <w:p w14:paraId="41483D57" w14:textId="77777777" w:rsidR="00E2755C" w:rsidRDefault="00E275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8F1BC" w14:textId="77777777" w:rsidR="00AE514C" w:rsidRDefault="00AE514C" w:rsidP="00CF1725">
      <w:pPr>
        <w:spacing w:after="0" w:line="240" w:lineRule="auto"/>
      </w:pPr>
      <w:r>
        <w:separator/>
      </w:r>
    </w:p>
  </w:footnote>
  <w:footnote w:type="continuationSeparator" w:id="0">
    <w:p w14:paraId="4D45AF41" w14:textId="77777777" w:rsidR="00AE514C" w:rsidRDefault="00AE514C" w:rsidP="00CF1725">
      <w:pPr>
        <w:spacing w:after="0" w:line="240" w:lineRule="auto"/>
      </w:pPr>
      <w:r>
        <w:continuationSeparator/>
      </w:r>
    </w:p>
  </w:footnote>
  <w:footnote w:id="1">
    <w:p w14:paraId="088D9FB5" w14:textId="77777777" w:rsidR="005C2DF5" w:rsidRPr="00694104" w:rsidRDefault="005C2DF5" w:rsidP="005C2DF5">
      <w:pPr>
        <w:pStyle w:val="Tekstprzypisudolnego"/>
        <w:rPr>
          <w:sz w:val="16"/>
          <w:szCs w:val="16"/>
        </w:rPr>
      </w:pPr>
      <w:r w:rsidRPr="000A5E94">
        <w:rPr>
          <w:rStyle w:val="Znakiprzypiswdolnych"/>
          <w:sz w:val="16"/>
          <w:szCs w:val="16"/>
          <w:vertAlign w:val="superscript"/>
        </w:rPr>
        <w:footnoteRef/>
      </w:r>
      <w:r w:rsidRPr="000A5E94">
        <w:rPr>
          <w:sz w:val="16"/>
          <w:szCs w:val="16"/>
        </w:rPr>
        <w:t xml:space="preserve"> określonych w środkach wykonawczych do dyrektywy 2009/125/WE  z dnia 21 października 2009 r. ustanawiającej ogólne zasady ustalania wymogów dotyczących ekoprojektu dla produktów związanych z energią.</w:t>
      </w:r>
    </w:p>
  </w:footnote>
  <w:footnote w:id="2">
    <w:p w14:paraId="3C34A477" w14:textId="77777777" w:rsidR="005C2DF5" w:rsidRPr="00694104" w:rsidRDefault="005C2DF5" w:rsidP="005C2DF5">
      <w:pPr>
        <w:pStyle w:val="Tekstprzypisudolnego"/>
      </w:pPr>
      <w:r w:rsidRPr="000A5E94">
        <w:rPr>
          <w:rStyle w:val="Znakiprzypiswdolnych"/>
          <w:sz w:val="16"/>
          <w:szCs w:val="16"/>
          <w:vertAlign w:val="superscript"/>
        </w:rPr>
        <w:footnoteRef/>
      </w:r>
      <w:r w:rsidRPr="00694104">
        <w:rPr>
          <w:sz w:val="16"/>
          <w:szCs w:val="16"/>
        </w:rPr>
        <w:t xml:space="preserve"> według normy PN-EN 303-5:2012</w:t>
      </w:r>
    </w:p>
  </w:footnote>
  <w:footnote w:id="3">
    <w:p w14:paraId="4A964E88" w14:textId="77777777" w:rsidR="005C2DF5" w:rsidRPr="00694104" w:rsidRDefault="005C2DF5" w:rsidP="005C2DF5">
      <w:pPr>
        <w:pStyle w:val="Tekstprzypisudolnego"/>
        <w:jc w:val="both"/>
      </w:pPr>
      <w:r w:rsidRPr="000A5E94">
        <w:rPr>
          <w:rStyle w:val="Znakiprzypiswdolnych"/>
          <w:vertAlign w:val="superscript"/>
        </w:rPr>
        <w:footnoteRef/>
      </w:r>
      <w:r w:rsidRPr="00694104">
        <w:rPr>
          <w:rFonts w:cs="Arial"/>
          <w:sz w:val="16"/>
          <w:szCs w:val="16"/>
        </w:rPr>
        <w:t xml:space="preserve"> co znajduje potwierdzenie w analizie możliwości podłączenia budynku/lokalu do sieci ciepła systemowego sporządzonej we wniosku o dofinansowanie w oparciu o dane z audytu energetycznego i/ lub gminnego planu zaopatrzenia w ciepło, ewentualnie Planu Gospodarki Niskoemisyjnej i/lub innego dokumentu (np. korespondencji z właściwym miejscowo zakładem ciepłowniczym).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754C7" w14:textId="7572B422" w:rsidR="00E2755C" w:rsidRPr="002379CD" w:rsidRDefault="00E2755C" w:rsidP="002379CD">
    <w:pPr>
      <w:pStyle w:val="Nagwek"/>
      <w:jc w:val="both"/>
      <w:rPr>
        <w:b/>
        <w:sz w:val="20"/>
        <w:szCs w:val="20"/>
      </w:rPr>
    </w:pPr>
    <w:r w:rsidRPr="002379CD">
      <w:rPr>
        <w:b/>
        <w:sz w:val="20"/>
        <w:szCs w:val="20"/>
        <w:u w:val="single"/>
      </w:rPr>
      <w:t>Załącznik nr 2</w:t>
    </w:r>
    <w:r w:rsidRPr="002379CD">
      <w:rPr>
        <w:b/>
        <w:sz w:val="20"/>
        <w:szCs w:val="20"/>
      </w:rPr>
      <w:t xml:space="preserve"> do ogłoszenia projektu</w:t>
    </w:r>
    <w:r w:rsidR="002379CD" w:rsidRPr="002379CD">
      <w:rPr>
        <w:b/>
        <w:sz w:val="20"/>
        <w:szCs w:val="20"/>
      </w:rPr>
      <w:t xml:space="preserve"> w ramach działania 3.3</w:t>
    </w:r>
    <w:r w:rsidR="002379CD" w:rsidRPr="002379CD">
      <w:rPr>
        <w:b/>
        <w:sz w:val="20"/>
        <w:szCs w:val="20"/>
        <w:lang w:eastAsia="pl-PL"/>
      </w:rPr>
      <w:t>3.3 „Efektywność energetyczna w bud</w:t>
    </w:r>
    <w:r w:rsidR="002379CD">
      <w:rPr>
        <w:b/>
        <w:sz w:val="20"/>
        <w:szCs w:val="20"/>
        <w:lang w:eastAsia="pl-PL"/>
      </w:rPr>
      <w:t xml:space="preserve">ynkach użyteczności publicznej  </w:t>
    </w:r>
    <w:r w:rsidR="002379CD" w:rsidRPr="002379CD">
      <w:rPr>
        <w:b/>
        <w:sz w:val="20"/>
        <w:szCs w:val="20"/>
        <w:lang w:eastAsia="pl-PL"/>
      </w:rPr>
      <w:t>i sekt</w:t>
    </w:r>
    <w:r w:rsidR="002379CD">
      <w:rPr>
        <w:b/>
        <w:sz w:val="20"/>
        <w:szCs w:val="20"/>
        <w:lang w:eastAsia="pl-PL"/>
      </w:rPr>
      <w:t xml:space="preserve">orze mieszkaniowym”, typ 3.3 e: </w:t>
    </w:r>
    <w:r w:rsidR="002379CD" w:rsidRPr="002379CD">
      <w:rPr>
        <w:b/>
        <w:sz w:val="20"/>
        <w:szCs w:val="20"/>
        <w:lang w:eastAsia="pl-PL"/>
      </w:rPr>
      <w:t>„Mo</w:t>
    </w:r>
    <w:r w:rsidR="002379CD">
      <w:rPr>
        <w:b/>
        <w:sz w:val="20"/>
        <w:szCs w:val="20"/>
        <w:lang w:eastAsia="pl-PL"/>
      </w:rPr>
      <w:t xml:space="preserve">dernizacja systemów grzewczych </w:t>
    </w:r>
    <w:r w:rsidR="002379CD" w:rsidRPr="002379CD">
      <w:rPr>
        <w:b/>
        <w:sz w:val="20"/>
        <w:szCs w:val="20"/>
        <w:lang w:eastAsia="pl-PL"/>
      </w:rPr>
      <w:t>i odnawialne źródła energii – projekty dotyczące zwalczania emisji kominowej” Regionalnego Programu Operacyjnego Województwa Dolnośląskiego 2014-2020 (RPO WD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0827501"/>
    <w:multiLevelType w:val="hybridMultilevel"/>
    <w:tmpl w:val="E69A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662C0F"/>
    <w:multiLevelType w:val="hybridMultilevel"/>
    <w:tmpl w:val="0284F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863C44"/>
    <w:multiLevelType w:val="hybridMultilevel"/>
    <w:tmpl w:val="6F4C49D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1" w15:restartNumberingAfterBreak="0">
    <w:nsid w:val="14815A8E"/>
    <w:multiLevelType w:val="multilevel"/>
    <w:tmpl w:val="95F087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F8014D"/>
    <w:multiLevelType w:val="multilevel"/>
    <w:tmpl w:val="366AE5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165153BA"/>
    <w:multiLevelType w:val="hybridMultilevel"/>
    <w:tmpl w:val="AC6C1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E44580"/>
    <w:multiLevelType w:val="hybridMultilevel"/>
    <w:tmpl w:val="019E6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20A4679D"/>
    <w:multiLevelType w:val="hybridMultilevel"/>
    <w:tmpl w:val="8518769E"/>
    <w:lvl w:ilvl="0" w:tplc="1BE8D496">
      <w:start w:val="2"/>
      <w:numFmt w:val="lowerLetter"/>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18448E"/>
    <w:multiLevelType w:val="hybridMultilevel"/>
    <w:tmpl w:val="81564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611347"/>
    <w:multiLevelType w:val="multilevel"/>
    <w:tmpl w:val="68166C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802114E"/>
    <w:multiLevelType w:val="hybridMultilevel"/>
    <w:tmpl w:val="3BC674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2BF8075D"/>
    <w:multiLevelType w:val="hybridMultilevel"/>
    <w:tmpl w:val="5832F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F6F6ACB"/>
    <w:multiLevelType w:val="multilevel"/>
    <w:tmpl w:val="7B142DE8"/>
    <w:lvl w:ilvl="0">
      <w:start w:val="2"/>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2F8C5000"/>
    <w:multiLevelType w:val="multilevel"/>
    <w:tmpl w:val="93F6D5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35F819F5"/>
    <w:multiLevelType w:val="multilevel"/>
    <w:tmpl w:val="0AF4B522"/>
    <w:lvl w:ilvl="0">
      <w:start w:val="1"/>
      <w:numFmt w:val="bullet"/>
      <w:lvlText w:val=""/>
      <w:lvlJc w:val="left"/>
      <w:pPr>
        <w:ind w:left="753" w:hanging="360"/>
      </w:pPr>
      <w:rPr>
        <w:rFonts w:ascii="Symbol" w:hAnsi="Symbol" w:cs="Symbol" w:hint="default"/>
        <w:sz w:val="20"/>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34" w15:restartNumberingAfterBreak="0">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3B056862"/>
    <w:multiLevelType w:val="hybridMultilevel"/>
    <w:tmpl w:val="39B42C4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0070FC7"/>
    <w:multiLevelType w:val="multilevel"/>
    <w:tmpl w:val="E01882A0"/>
    <w:lvl w:ilvl="0">
      <w:start w:val="1"/>
      <w:numFmt w:val="decimal"/>
      <w:lvlText w:val="%1."/>
      <w:lvlJc w:val="left"/>
      <w:pPr>
        <w:ind w:left="786" w:hanging="360"/>
      </w:pPr>
      <w:rPr>
        <w:color w:val="auto"/>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4A707939"/>
    <w:multiLevelType w:val="multilevel"/>
    <w:tmpl w:val="C666D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5A414994"/>
    <w:multiLevelType w:val="hybridMultilevel"/>
    <w:tmpl w:val="029A4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2840AA"/>
    <w:multiLevelType w:val="multilevel"/>
    <w:tmpl w:val="1C3221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5CE039B0"/>
    <w:multiLevelType w:val="multilevel"/>
    <w:tmpl w:val="BEC06BC6"/>
    <w:lvl w:ilvl="0">
      <w:start w:val="1"/>
      <w:numFmt w:val="bullet"/>
      <w:lvlText w:val=""/>
      <w:lvlJc w:val="left"/>
      <w:pPr>
        <w:ind w:left="1113" w:hanging="360"/>
      </w:pPr>
      <w:rPr>
        <w:rFonts w:ascii="Symbol" w:hAnsi="Symbol" w:cs="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cs="Wingdings" w:hint="default"/>
      </w:rPr>
    </w:lvl>
    <w:lvl w:ilvl="3">
      <w:start w:val="1"/>
      <w:numFmt w:val="bullet"/>
      <w:lvlText w:val=""/>
      <w:lvlJc w:val="left"/>
      <w:pPr>
        <w:ind w:left="3273" w:hanging="360"/>
      </w:pPr>
      <w:rPr>
        <w:rFonts w:ascii="Symbol" w:hAnsi="Symbol" w:cs="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cs="Wingdings" w:hint="default"/>
      </w:rPr>
    </w:lvl>
    <w:lvl w:ilvl="6">
      <w:start w:val="1"/>
      <w:numFmt w:val="bullet"/>
      <w:lvlText w:val=""/>
      <w:lvlJc w:val="left"/>
      <w:pPr>
        <w:ind w:left="5433" w:hanging="360"/>
      </w:pPr>
      <w:rPr>
        <w:rFonts w:ascii="Symbol" w:hAnsi="Symbol" w:cs="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cs="Wingdings" w:hint="default"/>
      </w:rPr>
    </w:lvl>
  </w:abstractNum>
  <w:abstractNum w:abstractNumId="46" w15:restartNumberingAfterBreak="0">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61BA618D"/>
    <w:multiLevelType w:val="hybridMultilevel"/>
    <w:tmpl w:val="70000928"/>
    <w:lvl w:ilvl="0" w:tplc="0415000F">
      <w:start w:val="1"/>
      <w:numFmt w:val="decimal"/>
      <w:lvlText w:val="%1."/>
      <w:lvlJc w:val="left"/>
      <w:pPr>
        <w:ind w:left="2700" w:hanging="360"/>
      </w:pPr>
      <w:rPr>
        <w:rFonts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48" w15:restartNumberingAfterBreak="0">
    <w:nsid w:val="68F26B37"/>
    <w:multiLevelType w:val="multilevel"/>
    <w:tmpl w:val="C1661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FD923BE"/>
    <w:multiLevelType w:val="hybridMultilevel"/>
    <w:tmpl w:val="CCFEA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751A3072"/>
    <w:multiLevelType w:val="hybridMultilevel"/>
    <w:tmpl w:val="60364E12"/>
    <w:lvl w:ilvl="0" w:tplc="9E48C108">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start w:val="1"/>
      <w:numFmt w:val="bullet"/>
      <w:lvlText w:val=""/>
      <w:lvlJc w:val="left"/>
      <w:pPr>
        <w:ind w:left="2920" w:hanging="360"/>
      </w:pPr>
      <w:rPr>
        <w:rFonts w:ascii="Symbol" w:hAnsi="Symbol" w:hint="default"/>
      </w:rPr>
    </w:lvl>
    <w:lvl w:ilvl="4" w:tplc="04150003">
      <w:start w:val="1"/>
      <w:numFmt w:val="bullet"/>
      <w:lvlText w:val="o"/>
      <w:lvlJc w:val="left"/>
      <w:pPr>
        <w:ind w:left="3640" w:hanging="360"/>
      </w:pPr>
      <w:rPr>
        <w:rFonts w:ascii="Courier New" w:hAnsi="Courier New" w:cs="Courier New" w:hint="default"/>
      </w:rPr>
    </w:lvl>
    <w:lvl w:ilvl="5" w:tplc="04150005">
      <w:start w:val="1"/>
      <w:numFmt w:val="bullet"/>
      <w:lvlText w:val=""/>
      <w:lvlJc w:val="left"/>
      <w:pPr>
        <w:ind w:left="4360" w:hanging="360"/>
      </w:pPr>
      <w:rPr>
        <w:rFonts w:ascii="Wingdings" w:hAnsi="Wingdings" w:hint="default"/>
      </w:rPr>
    </w:lvl>
    <w:lvl w:ilvl="6" w:tplc="04150001">
      <w:start w:val="1"/>
      <w:numFmt w:val="bullet"/>
      <w:lvlText w:val=""/>
      <w:lvlJc w:val="left"/>
      <w:pPr>
        <w:ind w:left="5080" w:hanging="360"/>
      </w:pPr>
      <w:rPr>
        <w:rFonts w:ascii="Symbol" w:hAnsi="Symbol" w:hint="default"/>
      </w:rPr>
    </w:lvl>
    <w:lvl w:ilvl="7" w:tplc="04150003">
      <w:start w:val="1"/>
      <w:numFmt w:val="bullet"/>
      <w:lvlText w:val="o"/>
      <w:lvlJc w:val="left"/>
      <w:pPr>
        <w:ind w:left="5800" w:hanging="360"/>
      </w:pPr>
      <w:rPr>
        <w:rFonts w:ascii="Courier New" w:hAnsi="Courier New" w:cs="Courier New" w:hint="default"/>
      </w:rPr>
    </w:lvl>
    <w:lvl w:ilvl="8" w:tplc="04150005">
      <w:start w:val="1"/>
      <w:numFmt w:val="bullet"/>
      <w:lvlText w:val=""/>
      <w:lvlJc w:val="left"/>
      <w:pPr>
        <w:ind w:left="6520" w:hanging="360"/>
      </w:pPr>
      <w:rPr>
        <w:rFonts w:ascii="Wingdings" w:hAnsi="Wingdings" w:hint="default"/>
      </w:rPr>
    </w:lvl>
  </w:abstractNum>
  <w:abstractNum w:abstractNumId="55" w15:restartNumberingAfterBreak="0">
    <w:nsid w:val="759B0DAE"/>
    <w:multiLevelType w:val="multilevel"/>
    <w:tmpl w:val="07CC7B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15:restartNumberingAfterBreak="0">
    <w:nsid w:val="75D65855"/>
    <w:multiLevelType w:val="multilevel"/>
    <w:tmpl w:val="06C6333E"/>
    <w:lvl w:ilvl="0">
      <w:start w:val="1"/>
      <w:numFmt w:val="decimal"/>
      <w:lvlText w:val="%1)"/>
      <w:lvlJc w:val="left"/>
      <w:pPr>
        <w:ind w:left="753" w:hanging="360"/>
      </w:pPr>
    </w:lvl>
    <w:lvl w:ilvl="1">
      <w:start w:val="1"/>
      <w:numFmt w:val="bullet"/>
      <w:lvlText w:val=""/>
      <w:lvlJc w:val="left"/>
      <w:pPr>
        <w:ind w:left="1473" w:hanging="360"/>
      </w:pPr>
      <w:rPr>
        <w:rFonts w:ascii="Symbol" w:hAnsi="Symbol" w:cs="Symbol" w:hint="default"/>
      </w:rPr>
    </w:lvl>
    <w:lvl w:ilvl="2">
      <w:start w:val="1"/>
      <w:numFmt w:val="bullet"/>
      <w:lvlText w:val="•"/>
      <w:lvlJc w:val="left"/>
      <w:pPr>
        <w:ind w:left="2718" w:hanging="705"/>
      </w:pPr>
      <w:rPr>
        <w:rFonts w:ascii="Calibri" w:hAnsi="Calibri" w:cs="Arial" w:hint="default"/>
      </w:r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57" w15:restartNumberingAfterBreak="0">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79F87A72"/>
    <w:multiLevelType w:val="hybridMultilevel"/>
    <w:tmpl w:val="303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28"/>
  </w:num>
  <w:num w:numId="3">
    <w:abstractNumId w:val="17"/>
  </w:num>
  <w:num w:numId="4">
    <w:abstractNumId w:val="27"/>
  </w:num>
  <w:num w:numId="5">
    <w:abstractNumId w:val="16"/>
  </w:num>
  <w:num w:numId="6">
    <w:abstractNumId w:val="41"/>
  </w:num>
  <w:num w:numId="7">
    <w:abstractNumId w:val="24"/>
  </w:num>
  <w:num w:numId="8">
    <w:abstractNumId w:val="60"/>
  </w:num>
  <w:num w:numId="9">
    <w:abstractNumId w:val="34"/>
  </w:num>
  <w:num w:numId="10">
    <w:abstractNumId w:val="59"/>
  </w:num>
  <w:num w:numId="11">
    <w:abstractNumId w:val="42"/>
  </w:num>
  <w:num w:numId="12">
    <w:abstractNumId w:val="52"/>
  </w:num>
  <w:num w:numId="13">
    <w:abstractNumId w:val="57"/>
  </w:num>
  <w:num w:numId="14">
    <w:abstractNumId w:val="5"/>
  </w:num>
  <w:num w:numId="15">
    <w:abstractNumId w:val="31"/>
  </w:num>
  <w:num w:numId="16">
    <w:abstractNumId w:val="46"/>
  </w:num>
  <w:num w:numId="17">
    <w:abstractNumId w:val="32"/>
  </w:num>
  <w:num w:numId="18">
    <w:abstractNumId w:val="6"/>
  </w:num>
  <w:num w:numId="19">
    <w:abstractNumId w:val="7"/>
  </w:num>
  <w:num w:numId="20">
    <w:abstractNumId w:val="26"/>
  </w:num>
  <w:num w:numId="21">
    <w:abstractNumId w:val="3"/>
  </w:num>
  <w:num w:numId="22">
    <w:abstractNumId w:val="53"/>
  </w:num>
  <w:num w:numId="23">
    <w:abstractNumId w:val="18"/>
  </w:num>
  <w:num w:numId="24">
    <w:abstractNumId w:val="39"/>
  </w:num>
  <w:num w:numId="25">
    <w:abstractNumId w:val="23"/>
  </w:num>
  <w:num w:numId="26">
    <w:abstractNumId w:val="61"/>
  </w:num>
  <w:num w:numId="27">
    <w:abstractNumId w:val="58"/>
  </w:num>
  <w:num w:numId="28">
    <w:abstractNumId w:val="50"/>
  </w:num>
  <w:num w:numId="29">
    <w:abstractNumId w:val="54"/>
  </w:num>
  <w:num w:numId="30">
    <w:abstractNumId w:val="12"/>
  </w:num>
  <w:num w:numId="31">
    <w:abstractNumId w:val="36"/>
  </w:num>
  <w:num w:numId="32">
    <w:abstractNumId w:val="2"/>
  </w:num>
  <w:num w:numId="33">
    <w:abstractNumId w:val="40"/>
  </w:num>
  <w:num w:numId="34">
    <w:abstractNumId w:val="0"/>
  </w:num>
  <w:num w:numId="35">
    <w:abstractNumId w:val="19"/>
  </w:num>
  <w:num w:numId="36">
    <w:abstractNumId w:val="4"/>
  </w:num>
  <w:num w:numId="37">
    <w:abstractNumId w:val="49"/>
  </w:num>
  <w:num w:numId="38">
    <w:abstractNumId w:val="35"/>
  </w:num>
  <w:num w:numId="39">
    <w:abstractNumId w:val="33"/>
  </w:num>
  <w:num w:numId="40">
    <w:abstractNumId w:val="38"/>
  </w:num>
  <w:num w:numId="41">
    <w:abstractNumId w:val="30"/>
  </w:num>
  <w:num w:numId="42">
    <w:abstractNumId w:val="9"/>
  </w:num>
  <w:num w:numId="43">
    <w:abstractNumId w:val="14"/>
  </w:num>
  <w:num w:numId="44">
    <w:abstractNumId w:val="29"/>
  </w:num>
  <w:num w:numId="45">
    <w:abstractNumId w:val="37"/>
  </w:num>
  <w:num w:numId="46">
    <w:abstractNumId w:val="48"/>
  </w:num>
  <w:num w:numId="47">
    <w:abstractNumId w:val="45"/>
  </w:num>
  <w:num w:numId="48">
    <w:abstractNumId w:val="56"/>
  </w:num>
  <w:num w:numId="49">
    <w:abstractNumId w:val="21"/>
  </w:num>
  <w:num w:numId="50">
    <w:abstractNumId w:val="13"/>
  </w:num>
  <w:num w:numId="51">
    <w:abstractNumId w:val="55"/>
  </w:num>
  <w:num w:numId="52">
    <w:abstractNumId w:val="11"/>
  </w:num>
  <w:num w:numId="53">
    <w:abstractNumId w:val="44"/>
  </w:num>
  <w:num w:numId="54">
    <w:abstractNumId w:val="25"/>
  </w:num>
  <w:num w:numId="55">
    <w:abstractNumId w:val="10"/>
  </w:num>
  <w:num w:numId="56">
    <w:abstractNumId w:val="51"/>
  </w:num>
  <w:num w:numId="57">
    <w:abstractNumId w:val="22"/>
  </w:num>
  <w:num w:numId="58">
    <w:abstractNumId w:val="47"/>
  </w:num>
  <w:num w:numId="59">
    <w:abstractNumId w:val="15"/>
  </w:num>
  <w:num w:numId="60">
    <w:abstractNumId w:val="43"/>
  </w:num>
  <w:num w:numId="61">
    <w:abstractNumId w:val="20"/>
  </w:num>
  <w:num w:numId="62">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6A"/>
    <w:rsid w:val="0001228A"/>
    <w:rsid w:val="0002778F"/>
    <w:rsid w:val="0005079A"/>
    <w:rsid w:val="000517D7"/>
    <w:rsid w:val="000769ED"/>
    <w:rsid w:val="00076C22"/>
    <w:rsid w:val="00083708"/>
    <w:rsid w:val="000C31B9"/>
    <w:rsid w:val="000E6508"/>
    <w:rsid w:val="000E68ED"/>
    <w:rsid w:val="000F382B"/>
    <w:rsid w:val="000F4648"/>
    <w:rsid w:val="00110612"/>
    <w:rsid w:val="0012469F"/>
    <w:rsid w:val="00127E58"/>
    <w:rsid w:val="001337F0"/>
    <w:rsid w:val="001462B1"/>
    <w:rsid w:val="0015781C"/>
    <w:rsid w:val="0018045C"/>
    <w:rsid w:val="00183453"/>
    <w:rsid w:val="00183FA2"/>
    <w:rsid w:val="001874CB"/>
    <w:rsid w:val="00192221"/>
    <w:rsid w:val="00197E87"/>
    <w:rsid w:val="001C4B34"/>
    <w:rsid w:val="001C5272"/>
    <w:rsid w:val="001C60E1"/>
    <w:rsid w:val="001F35D4"/>
    <w:rsid w:val="00211235"/>
    <w:rsid w:val="00211CCB"/>
    <w:rsid w:val="0022158C"/>
    <w:rsid w:val="00234F20"/>
    <w:rsid w:val="00236983"/>
    <w:rsid w:val="002379CD"/>
    <w:rsid w:val="00240349"/>
    <w:rsid w:val="00250450"/>
    <w:rsid w:val="00270183"/>
    <w:rsid w:val="00275FB0"/>
    <w:rsid w:val="00282F0C"/>
    <w:rsid w:val="00296419"/>
    <w:rsid w:val="002A1762"/>
    <w:rsid w:val="002A5327"/>
    <w:rsid w:val="002A7E38"/>
    <w:rsid w:val="002B3374"/>
    <w:rsid w:val="002D463F"/>
    <w:rsid w:val="002D72F1"/>
    <w:rsid w:val="002D7B4B"/>
    <w:rsid w:val="002E00C6"/>
    <w:rsid w:val="002F2571"/>
    <w:rsid w:val="002F2AA0"/>
    <w:rsid w:val="002F507C"/>
    <w:rsid w:val="002F5966"/>
    <w:rsid w:val="002F6DDC"/>
    <w:rsid w:val="00311A90"/>
    <w:rsid w:val="00313B4B"/>
    <w:rsid w:val="00316AE0"/>
    <w:rsid w:val="003222B9"/>
    <w:rsid w:val="0032689A"/>
    <w:rsid w:val="003465E0"/>
    <w:rsid w:val="00352335"/>
    <w:rsid w:val="00386C72"/>
    <w:rsid w:val="003B6FCB"/>
    <w:rsid w:val="003C7F94"/>
    <w:rsid w:val="003D089B"/>
    <w:rsid w:val="003E1741"/>
    <w:rsid w:val="003F0CD4"/>
    <w:rsid w:val="003F2B3D"/>
    <w:rsid w:val="003F3B58"/>
    <w:rsid w:val="004020DA"/>
    <w:rsid w:val="00406673"/>
    <w:rsid w:val="00422DD8"/>
    <w:rsid w:val="00441B8C"/>
    <w:rsid w:val="004457A9"/>
    <w:rsid w:val="00445C29"/>
    <w:rsid w:val="00467990"/>
    <w:rsid w:val="00493E6B"/>
    <w:rsid w:val="004C0C68"/>
    <w:rsid w:val="004C1B39"/>
    <w:rsid w:val="004D176D"/>
    <w:rsid w:val="004D7D01"/>
    <w:rsid w:val="004F79B7"/>
    <w:rsid w:val="00513672"/>
    <w:rsid w:val="0052255B"/>
    <w:rsid w:val="00522B71"/>
    <w:rsid w:val="005354E3"/>
    <w:rsid w:val="005407E7"/>
    <w:rsid w:val="0055602C"/>
    <w:rsid w:val="00566053"/>
    <w:rsid w:val="00584119"/>
    <w:rsid w:val="00597B00"/>
    <w:rsid w:val="005A0FEE"/>
    <w:rsid w:val="005A2674"/>
    <w:rsid w:val="005A5699"/>
    <w:rsid w:val="005C1A8D"/>
    <w:rsid w:val="005C2DF5"/>
    <w:rsid w:val="005C61C5"/>
    <w:rsid w:val="005C7A58"/>
    <w:rsid w:val="005D01B8"/>
    <w:rsid w:val="005E5032"/>
    <w:rsid w:val="005E7907"/>
    <w:rsid w:val="005F31DD"/>
    <w:rsid w:val="00605F08"/>
    <w:rsid w:val="00607C17"/>
    <w:rsid w:val="00607D5C"/>
    <w:rsid w:val="00612262"/>
    <w:rsid w:val="00626784"/>
    <w:rsid w:val="00643128"/>
    <w:rsid w:val="00647F1C"/>
    <w:rsid w:val="00656443"/>
    <w:rsid w:val="00656DD5"/>
    <w:rsid w:val="00663C0D"/>
    <w:rsid w:val="006664F9"/>
    <w:rsid w:val="006673C1"/>
    <w:rsid w:val="0066742E"/>
    <w:rsid w:val="006741FB"/>
    <w:rsid w:val="00675C53"/>
    <w:rsid w:val="0067675C"/>
    <w:rsid w:val="006772A1"/>
    <w:rsid w:val="0068130A"/>
    <w:rsid w:val="0068173C"/>
    <w:rsid w:val="006B380F"/>
    <w:rsid w:val="006B57E4"/>
    <w:rsid w:val="006C07DD"/>
    <w:rsid w:val="006D141A"/>
    <w:rsid w:val="006D3D73"/>
    <w:rsid w:val="006E6B57"/>
    <w:rsid w:val="006F56B4"/>
    <w:rsid w:val="006F72A4"/>
    <w:rsid w:val="007119A8"/>
    <w:rsid w:val="00714FEE"/>
    <w:rsid w:val="007171A9"/>
    <w:rsid w:val="00727570"/>
    <w:rsid w:val="007314EA"/>
    <w:rsid w:val="007455A6"/>
    <w:rsid w:val="00763A2F"/>
    <w:rsid w:val="007662BD"/>
    <w:rsid w:val="00777A36"/>
    <w:rsid w:val="00780C00"/>
    <w:rsid w:val="0078139A"/>
    <w:rsid w:val="00781F5F"/>
    <w:rsid w:val="00785956"/>
    <w:rsid w:val="0079648F"/>
    <w:rsid w:val="007B05AB"/>
    <w:rsid w:val="007C5A5D"/>
    <w:rsid w:val="007D4746"/>
    <w:rsid w:val="0080224F"/>
    <w:rsid w:val="0081119D"/>
    <w:rsid w:val="00814A40"/>
    <w:rsid w:val="0081617F"/>
    <w:rsid w:val="008226C7"/>
    <w:rsid w:val="008239E6"/>
    <w:rsid w:val="00824BD9"/>
    <w:rsid w:val="00843085"/>
    <w:rsid w:val="00843BF5"/>
    <w:rsid w:val="0084661B"/>
    <w:rsid w:val="008470D4"/>
    <w:rsid w:val="00865729"/>
    <w:rsid w:val="00882CF2"/>
    <w:rsid w:val="0088436C"/>
    <w:rsid w:val="00894868"/>
    <w:rsid w:val="00896759"/>
    <w:rsid w:val="008A1279"/>
    <w:rsid w:val="008A6D48"/>
    <w:rsid w:val="008B2D51"/>
    <w:rsid w:val="008D72A8"/>
    <w:rsid w:val="008F4F4E"/>
    <w:rsid w:val="008F6731"/>
    <w:rsid w:val="00923715"/>
    <w:rsid w:val="009249B4"/>
    <w:rsid w:val="0093216A"/>
    <w:rsid w:val="00935EC9"/>
    <w:rsid w:val="0094757D"/>
    <w:rsid w:val="00952400"/>
    <w:rsid w:val="00987F53"/>
    <w:rsid w:val="00991EAD"/>
    <w:rsid w:val="009A1ABF"/>
    <w:rsid w:val="009A22AA"/>
    <w:rsid w:val="009B330B"/>
    <w:rsid w:val="009D5DAD"/>
    <w:rsid w:val="009D6CA6"/>
    <w:rsid w:val="009D6FAD"/>
    <w:rsid w:val="009E7C92"/>
    <w:rsid w:val="009F4DC7"/>
    <w:rsid w:val="00A00E81"/>
    <w:rsid w:val="00A26CBF"/>
    <w:rsid w:val="00A31F1E"/>
    <w:rsid w:val="00A41F12"/>
    <w:rsid w:val="00A429F6"/>
    <w:rsid w:val="00A441AE"/>
    <w:rsid w:val="00A54F1B"/>
    <w:rsid w:val="00A644D3"/>
    <w:rsid w:val="00A745B8"/>
    <w:rsid w:val="00A74AC4"/>
    <w:rsid w:val="00A82A9F"/>
    <w:rsid w:val="00A82AD5"/>
    <w:rsid w:val="00A91141"/>
    <w:rsid w:val="00A964E0"/>
    <w:rsid w:val="00AB1A6A"/>
    <w:rsid w:val="00AB5631"/>
    <w:rsid w:val="00AC1F69"/>
    <w:rsid w:val="00AC29D1"/>
    <w:rsid w:val="00AE514C"/>
    <w:rsid w:val="00AE56D2"/>
    <w:rsid w:val="00AF1DE2"/>
    <w:rsid w:val="00B17389"/>
    <w:rsid w:val="00B1758C"/>
    <w:rsid w:val="00B253EA"/>
    <w:rsid w:val="00B3589C"/>
    <w:rsid w:val="00B41341"/>
    <w:rsid w:val="00B434C7"/>
    <w:rsid w:val="00B52C24"/>
    <w:rsid w:val="00B66AFA"/>
    <w:rsid w:val="00B707CC"/>
    <w:rsid w:val="00B72787"/>
    <w:rsid w:val="00B7523D"/>
    <w:rsid w:val="00B8050F"/>
    <w:rsid w:val="00B810E8"/>
    <w:rsid w:val="00B82361"/>
    <w:rsid w:val="00B879D2"/>
    <w:rsid w:val="00B90BEB"/>
    <w:rsid w:val="00B91F6B"/>
    <w:rsid w:val="00B96740"/>
    <w:rsid w:val="00BA53D6"/>
    <w:rsid w:val="00BA759E"/>
    <w:rsid w:val="00BB25FE"/>
    <w:rsid w:val="00BC0185"/>
    <w:rsid w:val="00BC2B74"/>
    <w:rsid w:val="00BC6E59"/>
    <w:rsid w:val="00BE5C11"/>
    <w:rsid w:val="00BF2EDE"/>
    <w:rsid w:val="00C06296"/>
    <w:rsid w:val="00C14750"/>
    <w:rsid w:val="00C172C3"/>
    <w:rsid w:val="00C22CB6"/>
    <w:rsid w:val="00C3770E"/>
    <w:rsid w:val="00C54F92"/>
    <w:rsid w:val="00C743BF"/>
    <w:rsid w:val="00C74491"/>
    <w:rsid w:val="00C74AC9"/>
    <w:rsid w:val="00C76F24"/>
    <w:rsid w:val="00C7707F"/>
    <w:rsid w:val="00C82FEC"/>
    <w:rsid w:val="00C86252"/>
    <w:rsid w:val="00C87FA2"/>
    <w:rsid w:val="00C92A1D"/>
    <w:rsid w:val="00CA3F20"/>
    <w:rsid w:val="00CB2331"/>
    <w:rsid w:val="00CD71D2"/>
    <w:rsid w:val="00CE2FF0"/>
    <w:rsid w:val="00CE69BC"/>
    <w:rsid w:val="00CF1725"/>
    <w:rsid w:val="00D058F1"/>
    <w:rsid w:val="00D1363E"/>
    <w:rsid w:val="00D234E8"/>
    <w:rsid w:val="00D3008A"/>
    <w:rsid w:val="00D31C6D"/>
    <w:rsid w:val="00D375FF"/>
    <w:rsid w:val="00D44866"/>
    <w:rsid w:val="00D54427"/>
    <w:rsid w:val="00D66237"/>
    <w:rsid w:val="00D66E0B"/>
    <w:rsid w:val="00D80589"/>
    <w:rsid w:val="00D823C2"/>
    <w:rsid w:val="00D8559B"/>
    <w:rsid w:val="00D90776"/>
    <w:rsid w:val="00DC736E"/>
    <w:rsid w:val="00DD2665"/>
    <w:rsid w:val="00DD6AB7"/>
    <w:rsid w:val="00DE03DC"/>
    <w:rsid w:val="00DE2868"/>
    <w:rsid w:val="00DE5558"/>
    <w:rsid w:val="00E029EA"/>
    <w:rsid w:val="00E0516D"/>
    <w:rsid w:val="00E16AD6"/>
    <w:rsid w:val="00E24987"/>
    <w:rsid w:val="00E2755C"/>
    <w:rsid w:val="00E32FD8"/>
    <w:rsid w:val="00E46C2E"/>
    <w:rsid w:val="00E5295B"/>
    <w:rsid w:val="00E61427"/>
    <w:rsid w:val="00E640CE"/>
    <w:rsid w:val="00E73E17"/>
    <w:rsid w:val="00E86AD4"/>
    <w:rsid w:val="00E907DB"/>
    <w:rsid w:val="00EA52F8"/>
    <w:rsid w:val="00EB7396"/>
    <w:rsid w:val="00EC6018"/>
    <w:rsid w:val="00EF1887"/>
    <w:rsid w:val="00F04C7B"/>
    <w:rsid w:val="00F05BA4"/>
    <w:rsid w:val="00F06320"/>
    <w:rsid w:val="00F21239"/>
    <w:rsid w:val="00F26BC5"/>
    <w:rsid w:val="00F37C09"/>
    <w:rsid w:val="00F827B9"/>
    <w:rsid w:val="00F854A7"/>
    <w:rsid w:val="00F94E63"/>
    <w:rsid w:val="00FA00BB"/>
    <w:rsid w:val="00FB117C"/>
    <w:rsid w:val="00FB1ABB"/>
    <w:rsid w:val="00FB25AE"/>
    <w:rsid w:val="00FC0740"/>
    <w:rsid w:val="00FD2570"/>
    <w:rsid w:val="00FE185B"/>
    <w:rsid w:val="00FF159B"/>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AC9C8E"/>
  <w15:docId w15:val="{88895146-1FA7-44D5-89E4-8912862B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75FF"/>
  </w:style>
  <w:style w:type="paragraph" w:styleId="Nagwek1">
    <w:name w:val="heading 1"/>
    <w:basedOn w:val="Normalny"/>
    <w:next w:val="Normalny"/>
    <w:link w:val="Nagwek1Znak"/>
    <w:uiPriority w:val="9"/>
    <w:qFormat/>
    <w:rsid w:val="00EF1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F1D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next w:val="Normalny"/>
    <w:link w:val="Nagwek3Znak"/>
    <w:uiPriority w:val="9"/>
    <w:unhideWhenUsed/>
    <w:qFormat/>
    <w:rsid w:val="00CF1725"/>
    <w:pPr>
      <w:keepNext/>
      <w:keepLines/>
      <w:spacing w:after="0"/>
      <w:ind w:left="10" w:hanging="10"/>
      <w:outlineLvl w:val="2"/>
    </w:pPr>
    <w:rPr>
      <w:rFonts w:ascii="Calibri" w:eastAsia="Calibri" w:hAnsi="Calibri" w:cs="Calibri"/>
      <w:b/>
      <w:color w:val="000000"/>
      <w:sz w:val="28"/>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F1725"/>
    <w:rPr>
      <w:rFonts w:ascii="Calibri" w:eastAsia="Calibri" w:hAnsi="Calibri" w:cs="Calibri"/>
      <w:b/>
      <w:color w:val="000000"/>
      <w:sz w:val="28"/>
      <w:u w:val="single" w:color="000000"/>
      <w:lang w:eastAsia="pl-PL"/>
    </w:rPr>
  </w:style>
  <w:style w:type="paragraph" w:customStyle="1" w:styleId="footnotedescription">
    <w:name w:val="footnote description"/>
    <w:next w:val="Normalny"/>
    <w:link w:val="footnotedescriptionChar"/>
    <w:hidden/>
    <w:rsid w:val="00CF1725"/>
    <w:pPr>
      <w:spacing w:after="0"/>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F1725"/>
    <w:rPr>
      <w:rFonts w:ascii="Calibri" w:eastAsia="Calibri" w:hAnsi="Calibri" w:cs="Calibri"/>
      <w:color w:val="000000"/>
      <w:sz w:val="16"/>
      <w:lang w:eastAsia="pl-PL"/>
    </w:rPr>
  </w:style>
  <w:style w:type="character" w:customStyle="1" w:styleId="footnotemark">
    <w:name w:val="footnote mark"/>
    <w:hidden/>
    <w:rsid w:val="00CF1725"/>
    <w:rPr>
      <w:rFonts w:ascii="Calibri" w:eastAsia="Calibri" w:hAnsi="Calibri" w:cs="Calibri"/>
      <w:color w:val="000000"/>
      <w:sz w:val="16"/>
      <w:vertAlign w:val="superscript"/>
    </w:rPr>
  </w:style>
  <w:style w:type="table" w:customStyle="1" w:styleId="TableGrid">
    <w:name w:val="TableGrid"/>
    <w:rsid w:val="00CF1725"/>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B72787"/>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B7278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72787"/>
    <w:rPr>
      <w:vertAlign w:val="superscript"/>
    </w:rPr>
  </w:style>
  <w:style w:type="paragraph" w:styleId="Akapitzlist">
    <w:name w:val="List Paragraph"/>
    <w:aliases w:val="Numerowanie,List Paragraph,Akapit z listą BS,Akapit z listą1"/>
    <w:basedOn w:val="Normalny"/>
    <w:link w:val="AkapitzlistZnak"/>
    <w:uiPriority w:val="34"/>
    <w:qFormat/>
    <w:rsid w:val="00F04C7B"/>
    <w:pPr>
      <w:ind w:left="720"/>
      <w:contextualSpacing/>
    </w:pPr>
  </w:style>
  <w:style w:type="paragraph" w:styleId="Tekstdymka">
    <w:name w:val="Balloon Text"/>
    <w:basedOn w:val="Normalny"/>
    <w:link w:val="TekstdymkaZnak"/>
    <w:uiPriority w:val="99"/>
    <w:semiHidden/>
    <w:unhideWhenUsed/>
    <w:rsid w:val="00F827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27B9"/>
    <w:rPr>
      <w:rFonts w:ascii="Tahoma" w:hAnsi="Tahoma" w:cs="Tahoma"/>
      <w:sz w:val="16"/>
      <w:szCs w:val="16"/>
    </w:rPr>
  </w:style>
  <w:style w:type="character" w:customStyle="1" w:styleId="AkapitzlistZnak">
    <w:name w:val="Akapit z listą Znak"/>
    <w:aliases w:val="Numerowanie Znak,List Paragraph Znak,Akapit z listą BS Znak,Akapit z listą1 Znak"/>
    <w:link w:val="Akapitzlist"/>
    <w:uiPriority w:val="34"/>
    <w:qFormat/>
    <w:locked/>
    <w:rsid w:val="00C86252"/>
  </w:style>
  <w:style w:type="table" w:styleId="Tabela-Siatka">
    <w:name w:val="Table Grid"/>
    <w:basedOn w:val="Standardowy"/>
    <w:uiPriority w:val="59"/>
    <w:rsid w:val="007455A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455A6"/>
    <w:rPr>
      <w:b/>
      <w:bCs/>
    </w:rPr>
  </w:style>
  <w:style w:type="character" w:styleId="Odwoaniedokomentarza">
    <w:name w:val="annotation reference"/>
    <w:basedOn w:val="Domylnaczcionkaakapitu"/>
    <w:uiPriority w:val="99"/>
    <w:unhideWhenUsed/>
    <w:qFormat/>
    <w:rsid w:val="007455A6"/>
    <w:rPr>
      <w:sz w:val="16"/>
      <w:szCs w:val="16"/>
    </w:rPr>
  </w:style>
  <w:style w:type="paragraph" w:styleId="Tekstkomentarza">
    <w:name w:val="annotation text"/>
    <w:basedOn w:val="Normalny"/>
    <w:link w:val="TekstkomentarzaZnak"/>
    <w:uiPriority w:val="99"/>
    <w:semiHidden/>
    <w:unhideWhenUsed/>
    <w:qFormat/>
    <w:rsid w:val="007455A6"/>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7455A6"/>
    <w:rPr>
      <w:sz w:val="20"/>
      <w:szCs w:val="20"/>
    </w:rPr>
  </w:style>
  <w:style w:type="paragraph" w:styleId="Tematkomentarza">
    <w:name w:val="annotation subject"/>
    <w:basedOn w:val="Tekstkomentarza"/>
    <w:next w:val="Tekstkomentarza"/>
    <w:link w:val="TematkomentarzaZnak"/>
    <w:uiPriority w:val="99"/>
    <w:semiHidden/>
    <w:unhideWhenUsed/>
    <w:rsid w:val="007455A6"/>
    <w:rPr>
      <w:b/>
      <w:bCs/>
    </w:rPr>
  </w:style>
  <w:style w:type="character" w:customStyle="1" w:styleId="TematkomentarzaZnak">
    <w:name w:val="Temat komentarza Znak"/>
    <w:basedOn w:val="TekstkomentarzaZnak"/>
    <w:link w:val="Tematkomentarza"/>
    <w:uiPriority w:val="99"/>
    <w:semiHidden/>
    <w:rsid w:val="007455A6"/>
    <w:rPr>
      <w:b/>
      <w:bCs/>
      <w:sz w:val="20"/>
      <w:szCs w:val="20"/>
    </w:rPr>
  </w:style>
  <w:style w:type="paragraph" w:styleId="Nagwek">
    <w:name w:val="header"/>
    <w:basedOn w:val="Normalny"/>
    <w:link w:val="NagwekZnak"/>
    <w:uiPriority w:val="99"/>
    <w:unhideWhenUsed/>
    <w:rsid w:val="00717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1A9"/>
  </w:style>
  <w:style w:type="paragraph" w:styleId="Stopka">
    <w:name w:val="footer"/>
    <w:basedOn w:val="Normalny"/>
    <w:link w:val="StopkaZnak"/>
    <w:uiPriority w:val="99"/>
    <w:unhideWhenUsed/>
    <w:rsid w:val="00717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1A9"/>
  </w:style>
  <w:style w:type="numbering" w:customStyle="1" w:styleId="WWNum5">
    <w:name w:val="WWNum5"/>
    <w:basedOn w:val="Bezlisty"/>
    <w:rsid w:val="00EC6018"/>
    <w:pPr>
      <w:numPr>
        <w:numId w:val="4"/>
      </w:numPr>
    </w:pPr>
  </w:style>
  <w:style w:type="numbering" w:customStyle="1" w:styleId="WWNum12">
    <w:name w:val="WWNum12"/>
    <w:basedOn w:val="Bezlisty"/>
    <w:rsid w:val="00EC6018"/>
    <w:pPr>
      <w:numPr>
        <w:numId w:val="5"/>
      </w:numPr>
    </w:pPr>
  </w:style>
  <w:style w:type="numbering" w:customStyle="1" w:styleId="WWNum14">
    <w:name w:val="WWNum14"/>
    <w:basedOn w:val="Bezlisty"/>
    <w:rsid w:val="00EC6018"/>
    <w:pPr>
      <w:numPr>
        <w:numId w:val="6"/>
      </w:numPr>
    </w:pPr>
  </w:style>
  <w:style w:type="numbering" w:customStyle="1" w:styleId="WWNum24">
    <w:name w:val="WWNum24"/>
    <w:basedOn w:val="Bezlisty"/>
    <w:rsid w:val="00EC6018"/>
    <w:pPr>
      <w:numPr>
        <w:numId w:val="7"/>
      </w:numPr>
    </w:pPr>
  </w:style>
  <w:style w:type="numbering" w:customStyle="1" w:styleId="WWNum25">
    <w:name w:val="WWNum25"/>
    <w:basedOn w:val="Bezlisty"/>
    <w:rsid w:val="00EC6018"/>
    <w:pPr>
      <w:numPr>
        <w:numId w:val="8"/>
      </w:numPr>
    </w:pPr>
  </w:style>
  <w:style w:type="numbering" w:customStyle="1" w:styleId="WWNum26">
    <w:name w:val="WWNum26"/>
    <w:basedOn w:val="Bezlisty"/>
    <w:rsid w:val="00EC6018"/>
    <w:pPr>
      <w:numPr>
        <w:numId w:val="9"/>
      </w:numPr>
    </w:pPr>
  </w:style>
  <w:style w:type="numbering" w:customStyle="1" w:styleId="WWNum27">
    <w:name w:val="WWNum27"/>
    <w:basedOn w:val="Bezlisty"/>
    <w:rsid w:val="00EC6018"/>
    <w:pPr>
      <w:numPr>
        <w:numId w:val="10"/>
      </w:numPr>
    </w:pPr>
  </w:style>
  <w:style w:type="numbering" w:customStyle="1" w:styleId="WWNum28">
    <w:name w:val="WWNum28"/>
    <w:basedOn w:val="Bezlisty"/>
    <w:rsid w:val="00EC6018"/>
    <w:pPr>
      <w:numPr>
        <w:numId w:val="11"/>
      </w:numPr>
    </w:pPr>
  </w:style>
  <w:style w:type="numbering" w:customStyle="1" w:styleId="WWNum29">
    <w:name w:val="WWNum29"/>
    <w:basedOn w:val="Bezlisty"/>
    <w:rsid w:val="00EC6018"/>
    <w:pPr>
      <w:numPr>
        <w:numId w:val="12"/>
      </w:numPr>
    </w:pPr>
  </w:style>
  <w:style w:type="numbering" w:customStyle="1" w:styleId="WWNum30">
    <w:name w:val="WWNum30"/>
    <w:basedOn w:val="Bezlisty"/>
    <w:rsid w:val="00EC6018"/>
    <w:pPr>
      <w:numPr>
        <w:numId w:val="13"/>
      </w:numPr>
    </w:pPr>
  </w:style>
  <w:style w:type="numbering" w:customStyle="1" w:styleId="WWNum31">
    <w:name w:val="WWNum31"/>
    <w:basedOn w:val="Bezlisty"/>
    <w:rsid w:val="00EC6018"/>
    <w:pPr>
      <w:numPr>
        <w:numId w:val="14"/>
      </w:numPr>
    </w:pPr>
  </w:style>
  <w:style w:type="numbering" w:customStyle="1" w:styleId="WWNum32">
    <w:name w:val="WWNum32"/>
    <w:basedOn w:val="Bezlisty"/>
    <w:rsid w:val="00EC6018"/>
    <w:pPr>
      <w:numPr>
        <w:numId w:val="15"/>
      </w:numPr>
    </w:pPr>
  </w:style>
  <w:style w:type="numbering" w:customStyle="1" w:styleId="WWNum33">
    <w:name w:val="WWNum33"/>
    <w:basedOn w:val="Bezlisty"/>
    <w:rsid w:val="00EC6018"/>
    <w:pPr>
      <w:numPr>
        <w:numId w:val="16"/>
      </w:numPr>
    </w:pPr>
  </w:style>
  <w:style w:type="numbering" w:customStyle="1" w:styleId="WWNum34">
    <w:name w:val="WWNum34"/>
    <w:basedOn w:val="Bezlisty"/>
    <w:rsid w:val="00EC6018"/>
    <w:pPr>
      <w:numPr>
        <w:numId w:val="17"/>
      </w:numPr>
    </w:pPr>
  </w:style>
  <w:style w:type="numbering" w:customStyle="1" w:styleId="WWNum35">
    <w:name w:val="WWNum35"/>
    <w:basedOn w:val="Bezlisty"/>
    <w:rsid w:val="00EC6018"/>
    <w:pPr>
      <w:numPr>
        <w:numId w:val="18"/>
      </w:numPr>
    </w:pPr>
  </w:style>
  <w:style w:type="numbering" w:customStyle="1" w:styleId="WWNum7">
    <w:name w:val="WWNum7"/>
    <w:basedOn w:val="Bezlisty"/>
    <w:rsid w:val="00EC6018"/>
    <w:pPr>
      <w:numPr>
        <w:numId w:val="19"/>
      </w:numPr>
    </w:pPr>
  </w:style>
  <w:style w:type="numbering" w:customStyle="1" w:styleId="WWNum8">
    <w:name w:val="WWNum8"/>
    <w:basedOn w:val="Bezlisty"/>
    <w:rsid w:val="00EC6018"/>
    <w:pPr>
      <w:numPr>
        <w:numId w:val="20"/>
      </w:numPr>
    </w:pPr>
  </w:style>
  <w:style w:type="numbering" w:customStyle="1" w:styleId="WWNum121">
    <w:name w:val="WWNum121"/>
    <w:basedOn w:val="Bezlisty"/>
    <w:rsid w:val="00EC6018"/>
    <w:pPr>
      <w:numPr>
        <w:numId w:val="21"/>
      </w:numPr>
    </w:pPr>
  </w:style>
  <w:style w:type="numbering" w:customStyle="1" w:styleId="WWNum141">
    <w:name w:val="WWNum141"/>
    <w:basedOn w:val="Bezlisty"/>
    <w:rsid w:val="00EC6018"/>
    <w:pPr>
      <w:numPr>
        <w:numId w:val="22"/>
      </w:numPr>
    </w:pPr>
  </w:style>
  <w:style w:type="numbering" w:customStyle="1" w:styleId="WWNum16">
    <w:name w:val="WWNum16"/>
    <w:basedOn w:val="Bezlisty"/>
    <w:rsid w:val="00EC6018"/>
    <w:pPr>
      <w:numPr>
        <w:numId w:val="23"/>
      </w:numPr>
    </w:pPr>
  </w:style>
  <w:style w:type="numbering" w:customStyle="1" w:styleId="WWNum17">
    <w:name w:val="WWNum17"/>
    <w:basedOn w:val="Bezlisty"/>
    <w:rsid w:val="00EC6018"/>
    <w:pPr>
      <w:numPr>
        <w:numId w:val="24"/>
      </w:numPr>
    </w:pPr>
  </w:style>
  <w:style w:type="numbering" w:customStyle="1" w:styleId="WWNum18">
    <w:name w:val="WWNum18"/>
    <w:basedOn w:val="Bezlisty"/>
    <w:rsid w:val="00EC6018"/>
    <w:pPr>
      <w:numPr>
        <w:numId w:val="25"/>
      </w:numPr>
    </w:pPr>
  </w:style>
  <w:style w:type="numbering" w:customStyle="1" w:styleId="WWNum19">
    <w:name w:val="WWNum19"/>
    <w:basedOn w:val="Bezlisty"/>
    <w:rsid w:val="00EC6018"/>
    <w:pPr>
      <w:numPr>
        <w:numId w:val="26"/>
      </w:numPr>
    </w:pPr>
  </w:style>
  <w:style w:type="paragraph" w:styleId="Bezodstpw">
    <w:name w:val="No Spacing"/>
    <w:uiPriority w:val="1"/>
    <w:qFormat/>
    <w:rsid w:val="00EF1887"/>
    <w:pPr>
      <w:suppressAutoHyphens/>
      <w:spacing w:after="0" w:line="240" w:lineRule="auto"/>
    </w:pPr>
    <w:rPr>
      <w:rFonts w:ascii="Calibri" w:eastAsia="Droid Sans Fallback" w:hAnsi="Calibri" w:cs="Calibri"/>
    </w:rPr>
  </w:style>
  <w:style w:type="paragraph" w:customStyle="1" w:styleId="Standard">
    <w:name w:val="Standard"/>
    <w:rsid w:val="00EF1887"/>
    <w:pPr>
      <w:suppressAutoHyphens/>
      <w:autoSpaceDN w:val="0"/>
      <w:spacing w:after="200" w:line="276" w:lineRule="auto"/>
    </w:pPr>
    <w:rPr>
      <w:rFonts w:ascii="Calibri" w:eastAsia="SimSun" w:hAnsi="Calibri" w:cs="F"/>
      <w:kern w:val="3"/>
    </w:rPr>
  </w:style>
  <w:style w:type="character" w:customStyle="1" w:styleId="Nagwek1Znak">
    <w:name w:val="Nagłówek 1 Znak"/>
    <w:basedOn w:val="Domylnaczcionkaakapitu"/>
    <w:link w:val="Nagwek1"/>
    <w:uiPriority w:val="9"/>
    <w:rsid w:val="00EF188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AF1DE2"/>
    <w:rPr>
      <w:rFonts w:asciiTheme="majorHAnsi" w:eastAsiaTheme="majorEastAsia" w:hAnsiTheme="majorHAnsi" w:cstheme="majorBidi"/>
      <w:color w:val="2E74B5" w:themeColor="accent1" w:themeShade="BF"/>
      <w:sz w:val="26"/>
      <w:szCs w:val="26"/>
    </w:rPr>
  </w:style>
  <w:style w:type="table" w:customStyle="1" w:styleId="Tabela-Siatka8">
    <w:name w:val="Tabela - Siatka8"/>
    <w:basedOn w:val="Standardowy"/>
    <w:next w:val="Tabela-Siatka"/>
    <w:uiPriority w:val="59"/>
    <w:rsid w:val="00AF1DE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14A40"/>
    <w:rPr>
      <w:color w:val="0563C1" w:themeColor="hyperlink"/>
      <w:u w:val="single"/>
    </w:rPr>
  </w:style>
  <w:style w:type="table" w:customStyle="1" w:styleId="Tabela-Siatka7">
    <w:name w:val="Tabela - Siatka7"/>
    <w:basedOn w:val="Standardowy"/>
    <w:next w:val="Tabela-Siatka"/>
    <w:uiPriority w:val="59"/>
    <w:rsid w:val="00814A4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741FB"/>
    <w:rPr>
      <w:vertAlign w:val="superscript"/>
    </w:rPr>
  </w:style>
  <w:style w:type="character" w:customStyle="1" w:styleId="FootnoteCharacters">
    <w:name w:val="Footnote Characters"/>
    <w:qFormat/>
    <w:rsid w:val="006741FB"/>
    <w:rPr>
      <w:vertAlign w:val="superscript"/>
    </w:rPr>
  </w:style>
  <w:style w:type="character" w:customStyle="1" w:styleId="Znakiprzypiswdolnych">
    <w:name w:val="Znaki przypisów dolnych"/>
    <w:qFormat/>
    <w:rsid w:val="00B91F6B"/>
  </w:style>
  <w:style w:type="paragraph" w:styleId="Tekstpodstawowy">
    <w:name w:val="Body Text"/>
    <w:basedOn w:val="Normalny"/>
    <w:link w:val="TekstpodstawowyZnak"/>
    <w:rsid w:val="00B91F6B"/>
    <w:pPr>
      <w:spacing w:after="140" w:line="276" w:lineRule="auto"/>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rsid w:val="00B91F6B"/>
    <w:rPr>
      <w:rFonts w:ascii="Calibri" w:eastAsia="Times New Roman" w:hAnsi="Calibri" w:cs="Times New Roman"/>
      <w:lang w:eastAsia="pl-PL"/>
    </w:rPr>
  </w:style>
  <w:style w:type="table" w:customStyle="1" w:styleId="Tabela-Siatka1">
    <w:name w:val="Tabela - Siatka1"/>
    <w:basedOn w:val="Standardowy"/>
    <w:uiPriority w:val="59"/>
    <w:rsid w:val="00B91F6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B543-BAE1-468C-AA5A-CF0898AD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3567</Words>
  <Characters>21403</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Radziwiłł-Wróbel</dc:creator>
  <cp:lastModifiedBy>Admin</cp:lastModifiedBy>
  <cp:revision>70</cp:revision>
  <cp:lastPrinted>2018-04-25T11:01:00Z</cp:lastPrinted>
  <dcterms:created xsi:type="dcterms:W3CDTF">2018-02-08T09:41:00Z</dcterms:created>
  <dcterms:modified xsi:type="dcterms:W3CDTF">2019-03-07T10:26:00Z</dcterms:modified>
</cp:coreProperties>
</file>